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C07D3" w14:textId="77777777" w:rsidR="00EF4F28" w:rsidRPr="0026204A" w:rsidRDefault="00267540">
      <w:pPr>
        <w:jc w:val="center"/>
        <w:rPr>
          <w:rFonts w:ascii="Times New Roman" w:eastAsia="Arial" w:hAnsi="Times New Roman" w:cs="Times New Roman"/>
          <w:b/>
          <w:sz w:val="24"/>
          <w:szCs w:val="24"/>
          <w:lang w:val="es-ES"/>
        </w:rPr>
      </w:pPr>
      <w:r>
        <w:rPr>
          <w:rFonts w:ascii="Arial" w:hAnsi="Arial"/>
          <w:sz w:val="20"/>
        </w:rPr>
        <w:t>KISI-KISI PENULISAN SOAL TKA PENDIDIKAN PANCASILA</w:t>
      </w:r>
    </w:p>
    <w:p w14:paraId="0BC4F974" w14:textId="4CD83116" w:rsidR="00EF4F28" w:rsidRPr="0026204A" w:rsidRDefault="00267540">
      <w:pPr>
        <w:rPr>
          <w:rFonts w:ascii="Times New Roman" w:eastAsia="Arial" w:hAnsi="Times New Roman" w:cs="Times New Roman"/>
          <w:sz w:val="24"/>
          <w:szCs w:val="24"/>
          <w:lang w:val="es-ES"/>
        </w:rPr>
      </w:pPr>
      <w:r>
        <w:rPr>
          <w:rFonts w:ascii="Arial" w:hAnsi="Arial"/>
          <w:sz w:val="20"/>
        </w:rPr>
        <w:t>Mata Pelajaran : PENDIDIKAN PANCASILA</w:t>
      </w:r>
    </w:p>
    <w:p w14:paraId="1EA29BC7" w14:textId="1CE00185" w:rsidR="00741A45" w:rsidRPr="0026204A" w:rsidRDefault="00741A45">
      <w:pPr>
        <w:rPr>
          <w:rFonts w:ascii="Times New Roman" w:eastAsia="Arial" w:hAnsi="Times New Roman" w:cs="Times New Roman"/>
          <w:b/>
          <w:bCs/>
          <w:sz w:val="24"/>
          <w:szCs w:val="24"/>
          <w:lang w:val="es-ES"/>
        </w:rPr>
      </w:pPr>
      <w:r>
        <w:rPr>
          <w:rFonts w:ascii="Arial" w:hAnsi="Arial"/>
          <w:sz w:val="20"/>
        </w:rPr>
        <w:t>Fase : X dan XII / E dan F</w:t>
      </w:r>
    </w:p>
    <w:p w14:paraId="5F3EE374" w14:textId="419B097D" w:rsidR="00741A45" w:rsidRPr="00AB6875" w:rsidRDefault="00741A45">
      <w:pPr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</w:pPr>
      <w:r>
        <w:rPr>
          <w:rFonts w:ascii="Arial" w:hAnsi="Arial"/>
          <w:sz w:val="20"/>
        </w:rPr>
        <w:t xml:space="preserve">Sekolah : </w:t>
      </w:r>
      <w:r w:rsidR="00AB6875">
        <w:rPr>
          <w:rFonts w:ascii="Arial" w:hAnsi="Arial"/>
          <w:sz w:val="20"/>
          <w:lang w:val="en-US"/>
        </w:rPr>
        <w:t xml:space="preserve">SMK Negeri 3 </w:t>
      </w:r>
      <w:proofErr w:type="spellStart"/>
      <w:r w:rsidR="00AB6875">
        <w:rPr>
          <w:rFonts w:ascii="Arial" w:hAnsi="Arial"/>
          <w:sz w:val="20"/>
          <w:lang w:val="en-US"/>
        </w:rPr>
        <w:t>Lhokseumawe</w:t>
      </w:r>
      <w:proofErr w:type="spellEnd"/>
    </w:p>
    <w:tbl>
      <w:tblPr>
        <w:tblStyle w:val="a"/>
        <w:tblW w:w="14500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0"/>
        <w:gridCol w:w="3135"/>
        <w:gridCol w:w="2351"/>
        <w:gridCol w:w="1019"/>
        <w:gridCol w:w="3919"/>
        <w:gridCol w:w="1410"/>
        <w:gridCol w:w="1568"/>
        <w:gridCol w:w="628"/>
      </w:tblGrid>
      <w:tr w:rsidR="00EF4F28" w:rsidRPr="003E6928" w14:paraId="07A0BE20" w14:textId="77777777" w:rsidTr="00685C8D">
        <w:trPr>
          <w:tblHeader/>
        </w:trPr>
        <w:tc>
          <w:tcPr>
            <w:tcW w:w="340" w:type="dxa"/>
            <w:shd w:val="clear" w:color="auto" w:fill="D9EAF7"/>
            <w:vAlign w:val="center"/>
          </w:tcPr>
          <w:p w14:paraId="0AA8C1E5" w14:textId="77777777" w:rsidR="00A66EA8" w:rsidRDefault="005C475F">
            <w:pPr>
              <w:spacing w:after="0"/>
            </w:pPr>
            <w:r>
              <w:rPr>
                <w:b/>
                <w:sz w:val="16"/>
              </w:rPr>
              <w:t>No.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07231F20" w14:textId="77777777" w:rsidR="00A66EA8" w:rsidRDefault="005C475F">
            <w:pPr>
              <w:spacing w:after="0"/>
            </w:pPr>
            <w:r>
              <w:rPr>
                <w:b/>
                <w:sz w:val="16"/>
              </w:rPr>
              <w:t>Tujuan Pembelajaran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696DB330" w14:textId="77777777" w:rsidR="00A66EA8" w:rsidRDefault="005C475F">
            <w:pPr>
              <w:spacing w:after="0"/>
            </w:pPr>
            <w:r>
              <w:rPr>
                <w:b/>
                <w:sz w:val="16"/>
              </w:rPr>
              <w:t>Materi</w:t>
            </w:r>
          </w:p>
        </w:tc>
        <w:tc>
          <w:tcPr>
            <w:tcW w:w="737" w:type="dxa"/>
            <w:shd w:val="clear" w:color="auto" w:fill="D9EAF7"/>
            <w:vAlign w:val="center"/>
          </w:tcPr>
          <w:p w14:paraId="30802ADB" w14:textId="6FBC3CF8" w:rsidR="00A66EA8" w:rsidRDefault="005C475F">
            <w:pPr>
              <w:spacing w:after="0"/>
            </w:pPr>
            <w:r>
              <w:rPr>
                <w:b/>
                <w:sz w:val="16"/>
              </w:rPr>
              <w:t>Kelas</w:t>
            </w:r>
            <w:r w:rsidR="00857C02">
              <w:rPr>
                <w:b/>
                <w:sz w:val="16"/>
              </w:rPr>
              <w:t xml:space="preserve"> / Fase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3FF8D50C" w14:textId="77777777" w:rsidR="00A66EA8" w:rsidRDefault="005C475F">
            <w:pPr>
              <w:spacing w:after="0"/>
            </w:pPr>
            <w:r>
              <w:rPr>
                <w:b/>
                <w:sz w:val="16"/>
              </w:rPr>
              <w:t>Indikator Soal</w:t>
            </w:r>
          </w:p>
        </w:tc>
        <w:tc>
          <w:tcPr>
            <w:tcW w:w="1020" w:type="dxa"/>
            <w:shd w:val="clear" w:color="auto" w:fill="D9EAF7"/>
            <w:vAlign w:val="center"/>
          </w:tcPr>
          <w:p w14:paraId="4811FDC2" w14:textId="77777777" w:rsidR="00A66EA8" w:rsidRDefault="005C475F">
            <w:pPr>
              <w:spacing w:after="0"/>
            </w:pPr>
            <w:r>
              <w:rPr>
                <w:b/>
                <w:sz w:val="16"/>
              </w:rPr>
              <w:t>Level Kognitif</w:t>
            </w:r>
          </w:p>
        </w:tc>
        <w:tc>
          <w:tcPr>
            <w:tcW w:w="1134" w:type="dxa"/>
            <w:shd w:val="clear" w:color="auto" w:fill="D9EAF7"/>
            <w:vAlign w:val="center"/>
          </w:tcPr>
          <w:p w14:paraId="7540D17E" w14:textId="77777777" w:rsidR="00A66EA8" w:rsidRDefault="005C475F">
            <w:pPr>
              <w:spacing w:after="0"/>
            </w:pPr>
            <w:r>
              <w:rPr>
                <w:b/>
                <w:sz w:val="16"/>
              </w:rPr>
              <w:t>Bentuk Soal</w:t>
            </w:r>
          </w:p>
        </w:tc>
        <w:tc>
          <w:tcPr>
            <w:tcW w:w="454" w:type="dxa"/>
            <w:shd w:val="clear" w:color="auto" w:fill="D9EAF7"/>
            <w:vAlign w:val="center"/>
          </w:tcPr>
          <w:p w14:paraId="52B1BCB1" w14:textId="77777777" w:rsidR="00A66EA8" w:rsidRDefault="005C475F">
            <w:pPr>
              <w:spacing w:after="0"/>
            </w:pPr>
            <w:r>
              <w:rPr>
                <w:b/>
                <w:sz w:val="16"/>
              </w:rPr>
              <w:t>No. Soal</w:t>
            </w:r>
          </w:p>
        </w:tc>
      </w:tr>
      <w:tr w:rsidR="00494D0A" w:rsidRPr="003E6928" w14:paraId="5EACBE1D" w14:textId="77777777" w:rsidTr="00685C8D">
        <w:tc>
          <w:tcPr>
            <w:tcW w:w="340" w:type="dxa"/>
          </w:tcPr>
          <w:p w14:paraId="6A1857C3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2268" w:type="dxa"/>
          </w:tcPr>
          <w:p w14:paraId="42EBD205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Peserta didik mampu menentukan sikap positif yang mencerminkan Bhinneka Tunggal Ika sebagai modal sosial pembangunan nasional.</w:t>
            </w:r>
          </w:p>
        </w:tc>
        <w:tc>
          <w:tcPr>
            <w:tcW w:w="1701" w:type="dxa"/>
          </w:tcPr>
          <w:p w14:paraId="6BE4DF28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Bhinneka Tunggal Ika, toleransi, gotong royong, dan modal sosial</w:t>
            </w:r>
          </w:p>
        </w:tc>
        <w:tc>
          <w:tcPr>
            <w:tcW w:w="737" w:type="dxa"/>
          </w:tcPr>
          <w:p w14:paraId="4651FD7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 / E</w:t>
            </w:r>
          </w:p>
        </w:tc>
        <w:tc>
          <w:tcPr>
            <w:tcW w:w="2835" w:type="dxa"/>
          </w:tcPr>
          <w:p w14:paraId="5275827D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Menganalisis tindakan yang </w:t>
            </w:r>
            <w:r>
              <w:rPr>
                <w:rFonts w:ascii="Arial" w:hAnsi="Arial"/>
                <w:sz w:val="16"/>
              </w:rPr>
              <w:t>paling tepat untuk menjaga kebinekaan dan memperkuat modal sosial dalam situasi kehidupan bersama.</w:t>
            </w:r>
          </w:p>
        </w:tc>
        <w:tc>
          <w:tcPr>
            <w:tcW w:w="1020" w:type="dxa"/>
          </w:tcPr>
          <w:p w14:paraId="011BE17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25A51C7F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 kompleks</w:t>
            </w:r>
          </w:p>
        </w:tc>
        <w:tc>
          <w:tcPr>
            <w:tcW w:w="454" w:type="dxa"/>
          </w:tcPr>
          <w:p w14:paraId="4A43098E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</w:t>
            </w:r>
          </w:p>
        </w:tc>
      </w:tr>
      <w:tr w:rsidR="00EF1620" w:rsidRPr="003E6928" w14:paraId="02AB7FA5" w14:textId="77777777" w:rsidTr="00685C8D">
        <w:tc>
          <w:tcPr>
            <w:tcW w:w="340" w:type="dxa"/>
          </w:tcPr>
          <w:p w14:paraId="08D274A1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w="2268" w:type="dxa"/>
          </w:tcPr>
          <w:p w14:paraId="0CD0ECCE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Peserta didik mampu menentukan sikap positif yang mencerminkan Bhinneka Tunggal Ika sebagai modal sosial </w:t>
            </w:r>
            <w:r>
              <w:rPr>
                <w:rFonts w:ascii="Arial" w:hAnsi="Arial"/>
                <w:sz w:val="16"/>
              </w:rPr>
              <w:t>pembangunan nasional.</w:t>
            </w:r>
          </w:p>
        </w:tc>
        <w:tc>
          <w:tcPr>
            <w:tcW w:w="1701" w:type="dxa"/>
          </w:tcPr>
          <w:p w14:paraId="461943AC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Bhinneka Tunggal Ika, toleransi, gotong royong, dan modal sosial</w:t>
            </w:r>
          </w:p>
        </w:tc>
        <w:tc>
          <w:tcPr>
            <w:tcW w:w="737" w:type="dxa"/>
          </w:tcPr>
          <w:p w14:paraId="5245F719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 / E</w:t>
            </w:r>
          </w:p>
        </w:tc>
        <w:tc>
          <w:tcPr>
            <w:tcW w:w="2835" w:type="dxa"/>
          </w:tcPr>
          <w:p w14:paraId="61255D3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tindakan yang paling tepat untuk menjaga kebinekaan dan memperkuat modal sosial dalam situasi kehidupan bersama.</w:t>
            </w:r>
          </w:p>
        </w:tc>
        <w:tc>
          <w:tcPr>
            <w:tcW w:w="1020" w:type="dxa"/>
          </w:tcPr>
          <w:p w14:paraId="7175C65E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4E47F79D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 kompl</w:t>
            </w:r>
            <w:r>
              <w:rPr>
                <w:rFonts w:ascii="Arial" w:hAnsi="Arial"/>
                <w:sz w:val="16"/>
              </w:rPr>
              <w:t>eks</w:t>
            </w:r>
          </w:p>
        </w:tc>
        <w:tc>
          <w:tcPr>
            <w:tcW w:w="454" w:type="dxa"/>
          </w:tcPr>
          <w:p w14:paraId="39F3186E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2</w:t>
            </w:r>
          </w:p>
        </w:tc>
      </w:tr>
      <w:tr w:rsidR="00331830" w:rsidRPr="003E6928" w14:paraId="1EC6324C" w14:textId="77777777" w:rsidTr="00685C8D">
        <w:tc>
          <w:tcPr>
            <w:tcW w:w="340" w:type="dxa"/>
          </w:tcPr>
          <w:p w14:paraId="3DFCF7FF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w="2268" w:type="dxa"/>
          </w:tcPr>
          <w:p w14:paraId="2CC2C8C8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Peserta didik mampu menentukan sikap positif yang mencerminkan Bhinneka Tunggal Ika sebagai modal sosial pembangunan nasional.</w:t>
            </w:r>
          </w:p>
        </w:tc>
        <w:tc>
          <w:tcPr>
            <w:tcW w:w="1701" w:type="dxa"/>
          </w:tcPr>
          <w:p w14:paraId="479D5DA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Bhinneka Tunggal Ika, toleransi, gotong royong, dan modal sosial</w:t>
            </w:r>
          </w:p>
        </w:tc>
        <w:tc>
          <w:tcPr>
            <w:tcW w:w="737" w:type="dxa"/>
          </w:tcPr>
          <w:p w14:paraId="7B1E7D99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 / E</w:t>
            </w:r>
          </w:p>
        </w:tc>
        <w:tc>
          <w:tcPr>
            <w:tcW w:w="2835" w:type="dxa"/>
          </w:tcPr>
          <w:p w14:paraId="5BC53DAF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tindakan yang paling tepat untuk men</w:t>
            </w:r>
            <w:r>
              <w:rPr>
                <w:rFonts w:ascii="Arial" w:hAnsi="Arial"/>
                <w:sz w:val="16"/>
              </w:rPr>
              <w:t>jaga kebinekaan dan memperkuat modal sosial dalam situasi kehidupan bersama.</w:t>
            </w:r>
          </w:p>
        </w:tc>
        <w:tc>
          <w:tcPr>
            <w:tcW w:w="1020" w:type="dxa"/>
          </w:tcPr>
          <w:p w14:paraId="38DC3A04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73AA8451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 kompleks</w:t>
            </w:r>
          </w:p>
        </w:tc>
        <w:tc>
          <w:tcPr>
            <w:tcW w:w="454" w:type="dxa"/>
          </w:tcPr>
          <w:p w14:paraId="6FA30199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3</w:t>
            </w:r>
          </w:p>
        </w:tc>
      </w:tr>
      <w:tr w:rsidR="00331830" w:rsidRPr="003E6928" w14:paraId="6E62DC90" w14:textId="77777777" w:rsidTr="00685C8D">
        <w:tc>
          <w:tcPr>
            <w:tcW w:w="340" w:type="dxa"/>
          </w:tcPr>
          <w:p w14:paraId="5B813341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w="2268" w:type="dxa"/>
          </w:tcPr>
          <w:p w14:paraId="06983B61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Peserta didik mampu menentukan sikap positif yang mencerminkan Bhinneka Tunggal Ika sebagai modal sosial pembangunan </w:t>
            </w:r>
            <w:r>
              <w:rPr>
                <w:rFonts w:ascii="Arial" w:hAnsi="Arial"/>
                <w:sz w:val="16"/>
              </w:rPr>
              <w:t>nasional.</w:t>
            </w:r>
          </w:p>
        </w:tc>
        <w:tc>
          <w:tcPr>
            <w:tcW w:w="1701" w:type="dxa"/>
          </w:tcPr>
          <w:p w14:paraId="192AA7E5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Bhinneka Tunggal Ika, toleransi, gotong royong, dan modal sosial</w:t>
            </w:r>
          </w:p>
        </w:tc>
        <w:tc>
          <w:tcPr>
            <w:tcW w:w="737" w:type="dxa"/>
          </w:tcPr>
          <w:p w14:paraId="1477C3C0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 / E</w:t>
            </w:r>
          </w:p>
        </w:tc>
        <w:tc>
          <w:tcPr>
            <w:tcW w:w="2835" w:type="dxa"/>
          </w:tcPr>
          <w:p w14:paraId="519D6222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tindakan yang paling tepat untuk menjaga kebinekaan dan memperkuat modal sosial dalam situasi kehidupan bersama.</w:t>
            </w:r>
          </w:p>
        </w:tc>
        <w:tc>
          <w:tcPr>
            <w:tcW w:w="1020" w:type="dxa"/>
          </w:tcPr>
          <w:p w14:paraId="1DCA93D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7F96384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 kompleks</w:t>
            </w:r>
          </w:p>
        </w:tc>
        <w:tc>
          <w:tcPr>
            <w:tcW w:w="454" w:type="dxa"/>
          </w:tcPr>
          <w:p w14:paraId="40F9FD32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4</w:t>
            </w:r>
          </w:p>
        </w:tc>
      </w:tr>
      <w:tr w:rsidR="003E6928" w:rsidRPr="003E6928" w14:paraId="26FEB4B7" w14:textId="77777777" w:rsidTr="00685C8D">
        <w:tc>
          <w:tcPr>
            <w:tcW w:w="340" w:type="dxa"/>
          </w:tcPr>
          <w:p w14:paraId="51733550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w="2268" w:type="dxa"/>
          </w:tcPr>
          <w:p w14:paraId="4BD1293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</w:t>
            </w:r>
            <w:r>
              <w:rPr>
                <w:rFonts w:ascii="Arial" w:hAnsi="Arial"/>
                <w:sz w:val="16"/>
              </w:rPr>
              <w:t>erta didik mampu menentukan sikap positif yang mencerminkan Bhinneka Tunggal Ika sebagai modal sosial pembangunan nasional.</w:t>
            </w:r>
          </w:p>
        </w:tc>
        <w:tc>
          <w:tcPr>
            <w:tcW w:w="1701" w:type="dxa"/>
          </w:tcPr>
          <w:p w14:paraId="3226CCB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Bhinneka Tunggal Ika, toleransi, gotong royong, dan modal sosial</w:t>
            </w:r>
          </w:p>
        </w:tc>
        <w:tc>
          <w:tcPr>
            <w:tcW w:w="737" w:type="dxa"/>
          </w:tcPr>
          <w:p w14:paraId="158868FE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 / E</w:t>
            </w:r>
          </w:p>
        </w:tc>
        <w:tc>
          <w:tcPr>
            <w:tcW w:w="2835" w:type="dxa"/>
          </w:tcPr>
          <w:p w14:paraId="2D3089F4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Menganalisis tindakan yang paling tepat untuk menjaga </w:t>
            </w:r>
            <w:r>
              <w:rPr>
                <w:rFonts w:ascii="Arial" w:hAnsi="Arial"/>
                <w:sz w:val="16"/>
              </w:rPr>
              <w:t>kebinekaan dan memperkuat modal sosial dalam situasi kehidupan bersama.</w:t>
            </w:r>
          </w:p>
        </w:tc>
        <w:tc>
          <w:tcPr>
            <w:tcW w:w="1020" w:type="dxa"/>
          </w:tcPr>
          <w:p w14:paraId="3A29198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55C5193F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 kompleks</w:t>
            </w:r>
          </w:p>
        </w:tc>
        <w:tc>
          <w:tcPr>
            <w:tcW w:w="454" w:type="dxa"/>
          </w:tcPr>
          <w:p w14:paraId="0566717D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5</w:t>
            </w:r>
          </w:p>
        </w:tc>
      </w:tr>
      <w:tr w:rsidR="003E6928" w:rsidRPr="003E6928" w14:paraId="7A89ED46" w14:textId="77777777" w:rsidTr="00685C8D">
        <w:tc>
          <w:tcPr>
            <w:tcW w:w="340" w:type="dxa"/>
          </w:tcPr>
          <w:p w14:paraId="461C7598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w="2268" w:type="dxa"/>
          </w:tcPr>
          <w:p w14:paraId="4CD81000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Peserta didik mampu menjelaskan hubungan hak atas pekerjaan dan penghidupan yang layak dengan tantangan pemenuhannya.</w:t>
            </w:r>
          </w:p>
        </w:tc>
        <w:tc>
          <w:tcPr>
            <w:tcW w:w="1701" w:type="dxa"/>
          </w:tcPr>
          <w:p w14:paraId="17EAAA4B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Hak warga negara ata</w:t>
            </w:r>
            <w:r>
              <w:rPr>
                <w:rFonts w:ascii="Arial" w:hAnsi="Arial"/>
                <w:sz w:val="16"/>
              </w:rPr>
              <w:t>s pekerjaan dan penghidupan yang layak; Pasal 27 ayat (2) UUD NRI Tahun 1945</w:t>
            </w:r>
          </w:p>
        </w:tc>
        <w:tc>
          <w:tcPr>
            <w:tcW w:w="737" w:type="dxa"/>
          </w:tcPr>
          <w:p w14:paraId="2093AE01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 / E</w:t>
            </w:r>
          </w:p>
        </w:tc>
        <w:tc>
          <w:tcPr>
            <w:tcW w:w="2835" w:type="dxa"/>
          </w:tcPr>
          <w:p w14:paraId="5C871D0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informasi kasus atau data sederhana untuk menentukan tantangan pemenuhan hak atas pekerjaan dan penghidupan yang layak.</w:t>
            </w:r>
          </w:p>
        </w:tc>
        <w:tc>
          <w:tcPr>
            <w:tcW w:w="1020" w:type="dxa"/>
          </w:tcPr>
          <w:p w14:paraId="46716604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07638471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</w:t>
            </w:r>
          </w:p>
        </w:tc>
        <w:tc>
          <w:tcPr>
            <w:tcW w:w="454" w:type="dxa"/>
          </w:tcPr>
          <w:p w14:paraId="0FDCA67D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6</w:t>
            </w:r>
          </w:p>
        </w:tc>
      </w:tr>
      <w:tr w:rsidR="00EF1946" w:rsidRPr="003E6928" w14:paraId="3ABFF565" w14:textId="77777777" w:rsidTr="00685C8D">
        <w:tc>
          <w:tcPr>
            <w:tcW w:w="340" w:type="dxa"/>
          </w:tcPr>
          <w:p w14:paraId="1EEBCF2C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7</w:t>
            </w:r>
          </w:p>
        </w:tc>
        <w:tc>
          <w:tcPr>
            <w:tcW w:w="2268" w:type="dxa"/>
          </w:tcPr>
          <w:p w14:paraId="57778294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Peserta didik mampu menjelaskan hubungan hak atas pekerjaan dan penghidupan yang layak dengan tantangan pemenuhannya.</w:t>
            </w:r>
          </w:p>
        </w:tc>
        <w:tc>
          <w:tcPr>
            <w:tcW w:w="1701" w:type="dxa"/>
          </w:tcPr>
          <w:p w14:paraId="1ED95F6E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Hak warga negara atas pekerjaan dan penghidupan yang layak; Pasal 27 ayat (2) UUD NRI Tahun 1945</w:t>
            </w:r>
          </w:p>
        </w:tc>
        <w:tc>
          <w:tcPr>
            <w:tcW w:w="737" w:type="dxa"/>
          </w:tcPr>
          <w:p w14:paraId="142EB583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 / E</w:t>
            </w:r>
          </w:p>
        </w:tc>
        <w:tc>
          <w:tcPr>
            <w:tcW w:w="2835" w:type="dxa"/>
          </w:tcPr>
          <w:p w14:paraId="5EF61F0E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informasi kasus atau d</w:t>
            </w:r>
            <w:r>
              <w:rPr>
                <w:rFonts w:ascii="Arial" w:hAnsi="Arial"/>
                <w:sz w:val="16"/>
              </w:rPr>
              <w:t>ata sederhana untuk menentukan tantangan pemenuhan hak atas pekerjaan dan penghidupan yang layak.</w:t>
            </w:r>
          </w:p>
        </w:tc>
        <w:tc>
          <w:tcPr>
            <w:tcW w:w="1020" w:type="dxa"/>
          </w:tcPr>
          <w:p w14:paraId="23124C55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1007101B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</w:t>
            </w:r>
          </w:p>
        </w:tc>
        <w:tc>
          <w:tcPr>
            <w:tcW w:w="454" w:type="dxa"/>
          </w:tcPr>
          <w:p w14:paraId="7A018A43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7</w:t>
            </w:r>
          </w:p>
        </w:tc>
      </w:tr>
      <w:tr w:rsidR="00EF1946" w:rsidRPr="003E6928" w14:paraId="64B8E0B5" w14:textId="77777777" w:rsidTr="00685C8D">
        <w:tc>
          <w:tcPr>
            <w:tcW w:w="340" w:type="dxa"/>
          </w:tcPr>
          <w:p w14:paraId="28221DDC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w="2268" w:type="dxa"/>
          </w:tcPr>
          <w:p w14:paraId="3FE03B9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Peserta didik mampu menjelaskan hubungan hak atas pekerjaan dan penghidupan yang layak dengan tantangan pemenuhannya.</w:t>
            </w:r>
          </w:p>
        </w:tc>
        <w:tc>
          <w:tcPr>
            <w:tcW w:w="1701" w:type="dxa"/>
          </w:tcPr>
          <w:p w14:paraId="185AF250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Hak</w:t>
            </w:r>
            <w:r>
              <w:rPr>
                <w:rFonts w:ascii="Arial" w:hAnsi="Arial"/>
                <w:sz w:val="16"/>
              </w:rPr>
              <w:t xml:space="preserve"> warga negara atas pekerjaan dan penghidupan yang layak; Pasal 27 ayat (2) UUD NRI Tahun 1945</w:t>
            </w:r>
          </w:p>
        </w:tc>
        <w:tc>
          <w:tcPr>
            <w:tcW w:w="737" w:type="dxa"/>
          </w:tcPr>
          <w:p w14:paraId="740EB47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 / E</w:t>
            </w:r>
          </w:p>
        </w:tc>
        <w:tc>
          <w:tcPr>
            <w:tcW w:w="2835" w:type="dxa"/>
          </w:tcPr>
          <w:p w14:paraId="732E050E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informasi kasus atau data sederhana untuk menentukan tantangan pemenuhan hak atas pekerjaan dan penghidupan yang layak.</w:t>
            </w:r>
          </w:p>
        </w:tc>
        <w:tc>
          <w:tcPr>
            <w:tcW w:w="1020" w:type="dxa"/>
          </w:tcPr>
          <w:p w14:paraId="4784E365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C4 – </w:t>
            </w:r>
            <w:r>
              <w:rPr>
                <w:rFonts w:ascii="Arial" w:hAnsi="Arial"/>
                <w:sz w:val="16"/>
              </w:rPr>
              <w:t>Menganalisis</w:t>
            </w:r>
          </w:p>
        </w:tc>
        <w:tc>
          <w:tcPr>
            <w:tcW w:w="1134" w:type="dxa"/>
          </w:tcPr>
          <w:p w14:paraId="5014768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</w:t>
            </w:r>
          </w:p>
        </w:tc>
        <w:tc>
          <w:tcPr>
            <w:tcW w:w="454" w:type="dxa"/>
          </w:tcPr>
          <w:p w14:paraId="3C13F4E8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8</w:t>
            </w:r>
          </w:p>
        </w:tc>
      </w:tr>
      <w:tr w:rsidR="00EF1946" w:rsidRPr="003E6928" w14:paraId="3E8785CC" w14:textId="77777777" w:rsidTr="00685C8D">
        <w:tc>
          <w:tcPr>
            <w:tcW w:w="340" w:type="dxa"/>
          </w:tcPr>
          <w:p w14:paraId="64A73648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9</w:t>
            </w:r>
          </w:p>
        </w:tc>
        <w:tc>
          <w:tcPr>
            <w:tcW w:w="2268" w:type="dxa"/>
          </w:tcPr>
          <w:p w14:paraId="7DDA455D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Peserta didik mampu menjelaskan hubungan hak atas pekerjaan dan penghidupan yang layak dengan tantangan pemenuhannya.</w:t>
            </w:r>
          </w:p>
        </w:tc>
        <w:tc>
          <w:tcPr>
            <w:tcW w:w="1701" w:type="dxa"/>
          </w:tcPr>
          <w:p w14:paraId="39A3FF7D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Hak warga negara atas pekerjaan dan penghidupan yang layak; Pasal 27 ayat (2) UUD NRI Tahun 1945</w:t>
            </w:r>
          </w:p>
        </w:tc>
        <w:tc>
          <w:tcPr>
            <w:tcW w:w="737" w:type="dxa"/>
          </w:tcPr>
          <w:p w14:paraId="638D3E3E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 / E</w:t>
            </w:r>
          </w:p>
        </w:tc>
        <w:tc>
          <w:tcPr>
            <w:tcW w:w="2835" w:type="dxa"/>
          </w:tcPr>
          <w:p w14:paraId="3C99B694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</w:t>
            </w:r>
            <w:r>
              <w:rPr>
                <w:rFonts w:ascii="Arial" w:hAnsi="Arial"/>
                <w:sz w:val="16"/>
              </w:rPr>
              <w:t>ganalisis informasi kasus atau data sederhana untuk menentukan tantangan pemenuhan hak atas pekerjaan dan penghidupan yang layak.</w:t>
            </w:r>
          </w:p>
        </w:tc>
        <w:tc>
          <w:tcPr>
            <w:tcW w:w="1020" w:type="dxa"/>
          </w:tcPr>
          <w:p w14:paraId="6FFE0E60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007A6513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</w:t>
            </w:r>
          </w:p>
        </w:tc>
        <w:tc>
          <w:tcPr>
            <w:tcW w:w="454" w:type="dxa"/>
          </w:tcPr>
          <w:p w14:paraId="7284487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9</w:t>
            </w:r>
          </w:p>
        </w:tc>
      </w:tr>
      <w:tr w:rsidR="00EF1946" w:rsidRPr="003E6928" w14:paraId="6B6BF633" w14:textId="77777777" w:rsidTr="00685C8D">
        <w:tc>
          <w:tcPr>
            <w:tcW w:w="340" w:type="dxa"/>
          </w:tcPr>
          <w:p w14:paraId="57DCF0C5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w="2268" w:type="dxa"/>
          </w:tcPr>
          <w:p w14:paraId="520D9E64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Peserta didik mampu menjelaskan hubungan hak atas pekerjaan dan penghidupan yang layak d</w:t>
            </w:r>
            <w:r>
              <w:rPr>
                <w:rFonts w:ascii="Arial" w:hAnsi="Arial"/>
                <w:sz w:val="16"/>
              </w:rPr>
              <w:t>engan tantangan pemenuhannya.</w:t>
            </w:r>
          </w:p>
        </w:tc>
        <w:tc>
          <w:tcPr>
            <w:tcW w:w="1701" w:type="dxa"/>
          </w:tcPr>
          <w:p w14:paraId="6F82409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Hak warga negara atas pekerjaan dan penghidupan yang layak; Pasal 27 ayat (2) UUD NRI Tahun 1945</w:t>
            </w:r>
          </w:p>
        </w:tc>
        <w:tc>
          <w:tcPr>
            <w:tcW w:w="737" w:type="dxa"/>
          </w:tcPr>
          <w:p w14:paraId="72F4A7A9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 / E</w:t>
            </w:r>
          </w:p>
        </w:tc>
        <w:tc>
          <w:tcPr>
            <w:tcW w:w="2835" w:type="dxa"/>
          </w:tcPr>
          <w:p w14:paraId="2ED0F143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Menganalisis informasi kasus atau data sederhana untuk menentukan tantangan pemenuhan hak atas pekerjaan dan </w:t>
            </w:r>
            <w:r>
              <w:rPr>
                <w:rFonts w:ascii="Arial" w:hAnsi="Arial"/>
                <w:sz w:val="16"/>
              </w:rPr>
              <w:t>penghidupan yang layak.</w:t>
            </w:r>
          </w:p>
        </w:tc>
        <w:tc>
          <w:tcPr>
            <w:tcW w:w="1020" w:type="dxa"/>
          </w:tcPr>
          <w:p w14:paraId="20C45C5A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2817A75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</w:t>
            </w:r>
          </w:p>
        </w:tc>
        <w:tc>
          <w:tcPr>
            <w:tcW w:w="454" w:type="dxa"/>
          </w:tcPr>
          <w:p w14:paraId="2E7B6263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10</w:t>
            </w:r>
          </w:p>
        </w:tc>
      </w:tr>
      <w:tr w:rsidR="003E6928" w:rsidRPr="003E6928" w14:paraId="7C1C3B3E" w14:textId="77777777" w:rsidTr="00685C8D">
        <w:tc>
          <w:tcPr>
            <w:tcW w:w="340" w:type="dxa"/>
          </w:tcPr>
          <w:p w14:paraId="4E7A4921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11</w:t>
            </w:r>
          </w:p>
        </w:tc>
        <w:tc>
          <w:tcPr>
            <w:tcW w:w="2268" w:type="dxa"/>
          </w:tcPr>
          <w:p w14:paraId="445456AC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Peserta didik mampu menentukan tantangan penegakan hukum serta dampaknya terhadap keadilan dan kepercayaan masyarakat.</w:t>
            </w:r>
          </w:p>
        </w:tc>
        <w:tc>
          <w:tcPr>
            <w:tcW w:w="1701" w:type="dxa"/>
          </w:tcPr>
          <w:p w14:paraId="728DDC99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Penegakan hukum, perlindungan HAM, pencemaran lingkungan, dan praktik suap</w:t>
            </w:r>
          </w:p>
        </w:tc>
        <w:tc>
          <w:tcPr>
            <w:tcW w:w="737" w:type="dxa"/>
          </w:tcPr>
          <w:p w14:paraId="4754CACC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XII / F</w:t>
            </w:r>
          </w:p>
        </w:tc>
        <w:tc>
          <w:tcPr>
            <w:tcW w:w="2835" w:type="dxa"/>
          </w:tcPr>
          <w:p w14:paraId="1AF4DFA2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kasus untuk menentukan bentuk tantangan penegakan hukum, hubungan sebab-akibat, dan langkah yang tepat.</w:t>
            </w:r>
          </w:p>
        </w:tc>
        <w:tc>
          <w:tcPr>
            <w:tcW w:w="1020" w:type="dxa"/>
          </w:tcPr>
          <w:p w14:paraId="3F34166E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4C4D45DD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</w:t>
            </w:r>
          </w:p>
        </w:tc>
        <w:tc>
          <w:tcPr>
            <w:tcW w:w="454" w:type="dxa"/>
          </w:tcPr>
          <w:p w14:paraId="4B7E0933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11</w:t>
            </w:r>
          </w:p>
        </w:tc>
      </w:tr>
      <w:tr w:rsidR="00EF1946" w:rsidRPr="003E6928" w14:paraId="0909503B" w14:textId="77777777" w:rsidTr="00685C8D">
        <w:tc>
          <w:tcPr>
            <w:tcW w:w="340" w:type="dxa"/>
          </w:tcPr>
          <w:p w14:paraId="3D33C22B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lastRenderedPageBreak/>
              <w:t>12</w:t>
            </w:r>
          </w:p>
        </w:tc>
        <w:tc>
          <w:tcPr>
            <w:tcW w:w="2268" w:type="dxa"/>
          </w:tcPr>
          <w:p w14:paraId="05ACC0E5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Peserta didik mampu menentukan tantangan penegakan hukum serta dampaknya terhadap </w:t>
            </w:r>
            <w:r>
              <w:rPr>
                <w:rFonts w:ascii="Arial" w:hAnsi="Arial"/>
                <w:sz w:val="16"/>
              </w:rPr>
              <w:t>keadilan dan kepercayaan masyarakat.</w:t>
            </w:r>
          </w:p>
        </w:tc>
        <w:tc>
          <w:tcPr>
            <w:tcW w:w="1701" w:type="dxa"/>
          </w:tcPr>
          <w:p w14:paraId="4F70B96D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Penegakan hukum, perlindungan HAM, pencemaran lingkungan, dan praktik suap</w:t>
            </w:r>
          </w:p>
        </w:tc>
        <w:tc>
          <w:tcPr>
            <w:tcW w:w="737" w:type="dxa"/>
          </w:tcPr>
          <w:p w14:paraId="32867931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XII / F</w:t>
            </w:r>
          </w:p>
        </w:tc>
        <w:tc>
          <w:tcPr>
            <w:tcW w:w="2835" w:type="dxa"/>
          </w:tcPr>
          <w:p w14:paraId="6BE42A89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kasus untuk menentukan bentuk tantangan penegakan hukum, hubungan sebab-akibat, dan langkah yang tepat.</w:t>
            </w:r>
          </w:p>
        </w:tc>
        <w:tc>
          <w:tcPr>
            <w:tcW w:w="1020" w:type="dxa"/>
          </w:tcPr>
          <w:p w14:paraId="2B40AC8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C4 – </w:t>
            </w:r>
            <w:r>
              <w:rPr>
                <w:rFonts w:ascii="Arial" w:hAnsi="Arial"/>
                <w:sz w:val="16"/>
              </w:rPr>
              <w:t>Menganalisis</w:t>
            </w:r>
          </w:p>
        </w:tc>
        <w:tc>
          <w:tcPr>
            <w:tcW w:w="1134" w:type="dxa"/>
          </w:tcPr>
          <w:p w14:paraId="6B277A1A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</w:t>
            </w:r>
          </w:p>
        </w:tc>
        <w:tc>
          <w:tcPr>
            <w:tcW w:w="454" w:type="dxa"/>
          </w:tcPr>
          <w:p w14:paraId="6484271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12</w:t>
            </w:r>
          </w:p>
        </w:tc>
      </w:tr>
      <w:tr w:rsidR="00EF1946" w:rsidRPr="003E6928" w14:paraId="68113922" w14:textId="77777777" w:rsidTr="00685C8D">
        <w:tc>
          <w:tcPr>
            <w:tcW w:w="340" w:type="dxa"/>
          </w:tcPr>
          <w:p w14:paraId="3CDC69B5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13</w:t>
            </w:r>
          </w:p>
        </w:tc>
        <w:tc>
          <w:tcPr>
            <w:tcW w:w="2268" w:type="dxa"/>
          </w:tcPr>
          <w:p w14:paraId="6ED0221D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Peserta didik mampu menentukan tantangan penegakan hukum serta dampaknya terhadap keadilan dan kepercayaan masyarakat.</w:t>
            </w:r>
          </w:p>
        </w:tc>
        <w:tc>
          <w:tcPr>
            <w:tcW w:w="1701" w:type="dxa"/>
          </w:tcPr>
          <w:p w14:paraId="41B998D0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Penegakan hukum, perlindungan HAM, pencemaran lingkungan, dan praktik suap</w:t>
            </w:r>
          </w:p>
        </w:tc>
        <w:tc>
          <w:tcPr>
            <w:tcW w:w="737" w:type="dxa"/>
          </w:tcPr>
          <w:p w14:paraId="08283B28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XII / F</w:t>
            </w:r>
          </w:p>
        </w:tc>
        <w:tc>
          <w:tcPr>
            <w:tcW w:w="2835" w:type="dxa"/>
          </w:tcPr>
          <w:p w14:paraId="0A722DF9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kasus u</w:t>
            </w:r>
            <w:r>
              <w:rPr>
                <w:rFonts w:ascii="Arial" w:hAnsi="Arial"/>
                <w:sz w:val="16"/>
              </w:rPr>
              <w:t>ntuk menentukan bentuk tantangan penegakan hukum, hubungan sebab-akibat, dan langkah yang tepat.</w:t>
            </w:r>
          </w:p>
        </w:tc>
        <w:tc>
          <w:tcPr>
            <w:tcW w:w="1020" w:type="dxa"/>
          </w:tcPr>
          <w:p w14:paraId="595A650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7BE2808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</w:t>
            </w:r>
          </w:p>
        </w:tc>
        <w:tc>
          <w:tcPr>
            <w:tcW w:w="454" w:type="dxa"/>
          </w:tcPr>
          <w:p w14:paraId="3B69A3B8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13</w:t>
            </w:r>
          </w:p>
        </w:tc>
      </w:tr>
      <w:tr w:rsidR="003E6928" w:rsidRPr="003E6928" w14:paraId="73295952" w14:textId="77777777" w:rsidTr="00685C8D">
        <w:tc>
          <w:tcPr>
            <w:tcW w:w="340" w:type="dxa"/>
          </w:tcPr>
          <w:p w14:paraId="5EBA9A3E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14</w:t>
            </w:r>
          </w:p>
        </w:tc>
        <w:tc>
          <w:tcPr>
            <w:tcW w:w="2268" w:type="dxa"/>
          </w:tcPr>
          <w:p w14:paraId="37BC128B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Peserta didik mampu menentukan tantangan penegakan hukum serta dampaknya terhadap keadilan dan kepercayaan </w:t>
            </w:r>
            <w:r>
              <w:rPr>
                <w:rFonts w:ascii="Arial" w:hAnsi="Arial"/>
                <w:sz w:val="16"/>
              </w:rPr>
              <w:t>masyarakat.</w:t>
            </w:r>
          </w:p>
        </w:tc>
        <w:tc>
          <w:tcPr>
            <w:tcW w:w="1701" w:type="dxa"/>
          </w:tcPr>
          <w:p w14:paraId="4520260D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Penegakan hukum, perlindungan HAM, pencemaran lingkungan, dan praktik suap</w:t>
            </w:r>
          </w:p>
        </w:tc>
        <w:tc>
          <w:tcPr>
            <w:tcW w:w="737" w:type="dxa"/>
          </w:tcPr>
          <w:p w14:paraId="7D60AC7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XII / F</w:t>
            </w:r>
          </w:p>
        </w:tc>
        <w:tc>
          <w:tcPr>
            <w:tcW w:w="2835" w:type="dxa"/>
          </w:tcPr>
          <w:p w14:paraId="00C55914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kasus untuk menentukan bentuk tantangan penegakan hukum, hubungan sebab-akibat, dan langkah yang tepat.</w:t>
            </w:r>
          </w:p>
        </w:tc>
        <w:tc>
          <w:tcPr>
            <w:tcW w:w="1020" w:type="dxa"/>
          </w:tcPr>
          <w:p w14:paraId="2DF713E2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7AC280BE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</w:t>
            </w:r>
          </w:p>
        </w:tc>
        <w:tc>
          <w:tcPr>
            <w:tcW w:w="454" w:type="dxa"/>
          </w:tcPr>
          <w:p w14:paraId="12D1F4D8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14</w:t>
            </w:r>
          </w:p>
        </w:tc>
      </w:tr>
      <w:tr w:rsidR="00A96EC0" w:rsidRPr="003E6928" w14:paraId="2995CCED" w14:textId="77777777" w:rsidTr="00685C8D">
        <w:tc>
          <w:tcPr>
            <w:tcW w:w="340" w:type="dxa"/>
          </w:tcPr>
          <w:p w14:paraId="1BAACF6C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15</w:t>
            </w:r>
          </w:p>
        </w:tc>
        <w:tc>
          <w:tcPr>
            <w:tcW w:w="2268" w:type="dxa"/>
          </w:tcPr>
          <w:p w14:paraId="02E42A9F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Peser</w:t>
            </w:r>
            <w:r>
              <w:rPr>
                <w:rFonts w:ascii="Arial" w:hAnsi="Arial"/>
                <w:sz w:val="16"/>
              </w:rPr>
              <w:t>ta didik mampu menentukan tantangan penegakan hukum serta dampaknya terhadap keadilan dan kepercayaan masyarakat.</w:t>
            </w:r>
          </w:p>
        </w:tc>
        <w:tc>
          <w:tcPr>
            <w:tcW w:w="1701" w:type="dxa"/>
          </w:tcPr>
          <w:p w14:paraId="0643B4B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Penegakan hukum, perlindungan HAM, pencemaran lingkungan, dan praktik suap</w:t>
            </w:r>
          </w:p>
        </w:tc>
        <w:tc>
          <w:tcPr>
            <w:tcW w:w="737" w:type="dxa"/>
          </w:tcPr>
          <w:p w14:paraId="6E785E44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XII / F</w:t>
            </w:r>
          </w:p>
        </w:tc>
        <w:tc>
          <w:tcPr>
            <w:tcW w:w="2835" w:type="dxa"/>
          </w:tcPr>
          <w:p w14:paraId="1AC557B9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Menganalisis kasus untuk menentukan bentuk </w:t>
            </w:r>
            <w:r>
              <w:rPr>
                <w:rFonts w:ascii="Arial" w:hAnsi="Arial"/>
                <w:sz w:val="16"/>
              </w:rPr>
              <w:t>tantangan penegakan hukum, hubungan sebab-akibat, dan langkah yang tepat.</w:t>
            </w:r>
          </w:p>
        </w:tc>
        <w:tc>
          <w:tcPr>
            <w:tcW w:w="1020" w:type="dxa"/>
          </w:tcPr>
          <w:p w14:paraId="1FC316AC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1A497C62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</w:t>
            </w:r>
          </w:p>
        </w:tc>
        <w:tc>
          <w:tcPr>
            <w:tcW w:w="454" w:type="dxa"/>
          </w:tcPr>
          <w:p w14:paraId="10358269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15</w:t>
            </w:r>
          </w:p>
        </w:tc>
      </w:tr>
      <w:tr w:rsidR="00FB3146" w:rsidRPr="003E6928" w14:paraId="374D61F5" w14:textId="77777777" w:rsidTr="00685C8D">
        <w:tc>
          <w:tcPr>
            <w:tcW w:w="340" w:type="dxa"/>
          </w:tcPr>
          <w:p w14:paraId="6FD8C292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16</w:t>
            </w:r>
          </w:p>
        </w:tc>
        <w:tc>
          <w:tcPr>
            <w:tcW w:w="2268" w:type="dxa"/>
          </w:tcPr>
          <w:p w14:paraId="69AD3F5E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Peserta didik mampu menganalisis upaya menjaga kebinekaan melalui kerja sama, toleransi, dan penghargaan terhadap budaya.</w:t>
            </w:r>
          </w:p>
        </w:tc>
        <w:tc>
          <w:tcPr>
            <w:tcW w:w="1701" w:type="dxa"/>
          </w:tcPr>
          <w:p w14:paraId="3664DB61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Integrasi nasional, k</w:t>
            </w:r>
            <w:r>
              <w:rPr>
                <w:rFonts w:ascii="Arial" w:hAnsi="Arial"/>
                <w:sz w:val="16"/>
              </w:rPr>
              <w:t>ebinekaan sebagai modal sosial, harmoni, dan keberagaman</w:t>
            </w:r>
          </w:p>
        </w:tc>
        <w:tc>
          <w:tcPr>
            <w:tcW w:w="737" w:type="dxa"/>
          </w:tcPr>
          <w:p w14:paraId="5640F719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 / E</w:t>
            </w:r>
          </w:p>
        </w:tc>
        <w:tc>
          <w:tcPr>
            <w:tcW w:w="2835" w:type="dxa"/>
          </w:tcPr>
          <w:p w14:paraId="1554524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pilihan kebijakan atau tindakan yang menjaga kebinekaan dan memberi manfaat bagi pembangunan bersama.</w:t>
            </w:r>
          </w:p>
        </w:tc>
        <w:tc>
          <w:tcPr>
            <w:tcW w:w="1020" w:type="dxa"/>
          </w:tcPr>
          <w:p w14:paraId="5EE51940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16069394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 kompleks</w:t>
            </w:r>
          </w:p>
        </w:tc>
        <w:tc>
          <w:tcPr>
            <w:tcW w:w="454" w:type="dxa"/>
          </w:tcPr>
          <w:p w14:paraId="15585AC0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16</w:t>
            </w:r>
          </w:p>
        </w:tc>
      </w:tr>
      <w:tr w:rsidR="00FB3146" w:rsidRPr="003E6928" w14:paraId="34B5F642" w14:textId="77777777" w:rsidTr="00685C8D">
        <w:tc>
          <w:tcPr>
            <w:tcW w:w="340" w:type="dxa"/>
          </w:tcPr>
          <w:p w14:paraId="799E4440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17</w:t>
            </w:r>
          </w:p>
        </w:tc>
        <w:tc>
          <w:tcPr>
            <w:tcW w:w="2268" w:type="dxa"/>
          </w:tcPr>
          <w:p w14:paraId="47AD368C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Peserta didik mampu </w:t>
            </w:r>
            <w:r>
              <w:rPr>
                <w:rFonts w:ascii="Arial" w:hAnsi="Arial"/>
                <w:sz w:val="16"/>
              </w:rPr>
              <w:t>menganalisis upaya menjaga kebinekaan melalui kerja sama, toleransi, dan penghargaan terhadap budaya.</w:t>
            </w:r>
          </w:p>
        </w:tc>
        <w:tc>
          <w:tcPr>
            <w:tcW w:w="1701" w:type="dxa"/>
          </w:tcPr>
          <w:p w14:paraId="5B1276E5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Integrasi nasional, kebinekaan sebagai modal sosial, harmoni, dan keberagaman</w:t>
            </w:r>
          </w:p>
        </w:tc>
        <w:tc>
          <w:tcPr>
            <w:tcW w:w="737" w:type="dxa"/>
          </w:tcPr>
          <w:p w14:paraId="6E680774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 / E</w:t>
            </w:r>
          </w:p>
        </w:tc>
        <w:tc>
          <w:tcPr>
            <w:tcW w:w="2835" w:type="dxa"/>
          </w:tcPr>
          <w:p w14:paraId="27F2EC4C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Menganalisis pilihan kebijakan atau tindakan yang menjaga </w:t>
            </w:r>
            <w:r>
              <w:rPr>
                <w:rFonts w:ascii="Arial" w:hAnsi="Arial"/>
                <w:sz w:val="16"/>
              </w:rPr>
              <w:t>kebinekaan dan memberi manfaat bagi pembangunan bersama.</w:t>
            </w:r>
          </w:p>
        </w:tc>
        <w:tc>
          <w:tcPr>
            <w:tcW w:w="1020" w:type="dxa"/>
          </w:tcPr>
          <w:p w14:paraId="2D5FDC8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519BF45E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 kompleks</w:t>
            </w:r>
          </w:p>
        </w:tc>
        <w:tc>
          <w:tcPr>
            <w:tcW w:w="454" w:type="dxa"/>
          </w:tcPr>
          <w:p w14:paraId="66FAA55E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17</w:t>
            </w:r>
          </w:p>
        </w:tc>
      </w:tr>
      <w:tr w:rsidR="003E6928" w:rsidRPr="003E6928" w14:paraId="4E9733D9" w14:textId="77777777" w:rsidTr="00685C8D">
        <w:tc>
          <w:tcPr>
            <w:tcW w:w="340" w:type="dxa"/>
          </w:tcPr>
          <w:p w14:paraId="38A70494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18</w:t>
            </w:r>
          </w:p>
        </w:tc>
        <w:tc>
          <w:tcPr>
            <w:tcW w:w="2268" w:type="dxa"/>
          </w:tcPr>
          <w:p w14:paraId="7A677E2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Peserta didik mampu menganalisis upaya menjaga kebinekaan melalui kerja sama, toleransi, dan penghargaan terhadap budaya.</w:t>
            </w:r>
          </w:p>
        </w:tc>
        <w:tc>
          <w:tcPr>
            <w:tcW w:w="1701" w:type="dxa"/>
          </w:tcPr>
          <w:p w14:paraId="6F5F7695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Integrasi nasional, kebinekaa</w:t>
            </w:r>
            <w:r>
              <w:rPr>
                <w:rFonts w:ascii="Arial" w:hAnsi="Arial"/>
                <w:sz w:val="16"/>
              </w:rPr>
              <w:t>n sebagai modal sosial, harmoni, dan keberagaman</w:t>
            </w:r>
          </w:p>
        </w:tc>
        <w:tc>
          <w:tcPr>
            <w:tcW w:w="737" w:type="dxa"/>
          </w:tcPr>
          <w:p w14:paraId="3C5518DB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 / E</w:t>
            </w:r>
          </w:p>
        </w:tc>
        <w:tc>
          <w:tcPr>
            <w:tcW w:w="2835" w:type="dxa"/>
          </w:tcPr>
          <w:p w14:paraId="27A76499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pilihan kebijakan atau tindakan yang menjaga kebinekaan dan memberi manfaat bagi pembangunan bersama.</w:t>
            </w:r>
          </w:p>
        </w:tc>
        <w:tc>
          <w:tcPr>
            <w:tcW w:w="1020" w:type="dxa"/>
          </w:tcPr>
          <w:p w14:paraId="5BCB0FA8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1824843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 kompleks</w:t>
            </w:r>
          </w:p>
        </w:tc>
        <w:tc>
          <w:tcPr>
            <w:tcW w:w="454" w:type="dxa"/>
          </w:tcPr>
          <w:p w14:paraId="4BF0DFD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18</w:t>
            </w:r>
          </w:p>
        </w:tc>
      </w:tr>
      <w:tr w:rsidR="003E6928" w:rsidRPr="003E6928" w14:paraId="64F014B2" w14:textId="77777777" w:rsidTr="00685C8D">
        <w:tc>
          <w:tcPr>
            <w:tcW w:w="340" w:type="dxa"/>
          </w:tcPr>
          <w:p w14:paraId="72C7F4DF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19</w:t>
            </w:r>
          </w:p>
        </w:tc>
        <w:tc>
          <w:tcPr>
            <w:tcW w:w="2268" w:type="dxa"/>
          </w:tcPr>
          <w:p w14:paraId="7C0A10EF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Peserta didik mampu </w:t>
            </w:r>
            <w:r>
              <w:rPr>
                <w:rFonts w:ascii="Arial" w:hAnsi="Arial"/>
                <w:sz w:val="16"/>
              </w:rPr>
              <w:t>menganalisis upaya menjaga kebinekaan melalui kerja sama, toleransi, dan penghargaan terhadap budaya.</w:t>
            </w:r>
          </w:p>
        </w:tc>
        <w:tc>
          <w:tcPr>
            <w:tcW w:w="1701" w:type="dxa"/>
          </w:tcPr>
          <w:p w14:paraId="29389FD4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Integrasi nasional, kebinekaan sebagai modal sosial, harmoni, dan keberagaman</w:t>
            </w:r>
          </w:p>
        </w:tc>
        <w:tc>
          <w:tcPr>
            <w:tcW w:w="737" w:type="dxa"/>
          </w:tcPr>
          <w:p w14:paraId="7C585D5B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 / E</w:t>
            </w:r>
          </w:p>
        </w:tc>
        <w:tc>
          <w:tcPr>
            <w:tcW w:w="2835" w:type="dxa"/>
          </w:tcPr>
          <w:p w14:paraId="650267FD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pilihan kebijakan atau tindakan yang menjaga kebinekaan d</w:t>
            </w:r>
            <w:r>
              <w:rPr>
                <w:rFonts w:ascii="Arial" w:hAnsi="Arial"/>
                <w:sz w:val="16"/>
              </w:rPr>
              <w:t>an memberi manfaat bagi pembangunan bersama.</w:t>
            </w:r>
          </w:p>
        </w:tc>
        <w:tc>
          <w:tcPr>
            <w:tcW w:w="1020" w:type="dxa"/>
          </w:tcPr>
          <w:p w14:paraId="285C3F89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75FE3073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 kompleks</w:t>
            </w:r>
          </w:p>
        </w:tc>
        <w:tc>
          <w:tcPr>
            <w:tcW w:w="454" w:type="dxa"/>
          </w:tcPr>
          <w:p w14:paraId="3395A922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19</w:t>
            </w:r>
          </w:p>
        </w:tc>
      </w:tr>
      <w:tr w:rsidR="00EF1946" w:rsidRPr="003E6928" w14:paraId="36768368" w14:textId="77777777" w:rsidTr="00685C8D">
        <w:tc>
          <w:tcPr>
            <w:tcW w:w="340" w:type="dxa"/>
          </w:tcPr>
          <w:p w14:paraId="0F8652D9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w="2268" w:type="dxa"/>
          </w:tcPr>
          <w:p w14:paraId="2F250BFA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Peserta didik mampu menganalisis upaya menjaga kebinekaan melalui kerja sama, toleransi, dan penghargaan terhadap budaya.</w:t>
            </w:r>
          </w:p>
        </w:tc>
        <w:tc>
          <w:tcPr>
            <w:tcW w:w="1701" w:type="dxa"/>
          </w:tcPr>
          <w:p w14:paraId="3B4931B0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Integrasi nasional, kebinekaan </w:t>
            </w:r>
            <w:r>
              <w:rPr>
                <w:rFonts w:ascii="Arial" w:hAnsi="Arial"/>
                <w:sz w:val="16"/>
              </w:rPr>
              <w:t>sebagai modal sosial, harmoni, dan keberagaman</w:t>
            </w:r>
          </w:p>
        </w:tc>
        <w:tc>
          <w:tcPr>
            <w:tcW w:w="737" w:type="dxa"/>
          </w:tcPr>
          <w:p w14:paraId="02040BCD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 / E</w:t>
            </w:r>
          </w:p>
        </w:tc>
        <w:tc>
          <w:tcPr>
            <w:tcW w:w="2835" w:type="dxa"/>
          </w:tcPr>
          <w:p w14:paraId="7045694C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pilihan kebijakan atau tindakan yang menjaga kebinekaan dan memberi manfaat bagi pembangunan bersama.</w:t>
            </w:r>
          </w:p>
        </w:tc>
        <w:tc>
          <w:tcPr>
            <w:tcW w:w="1020" w:type="dxa"/>
          </w:tcPr>
          <w:p w14:paraId="31E580CC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4C8AEA2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 kompleks</w:t>
            </w:r>
          </w:p>
        </w:tc>
        <w:tc>
          <w:tcPr>
            <w:tcW w:w="454" w:type="dxa"/>
          </w:tcPr>
          <w:p w14:paraId="08459E0F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20</w:t>
            </w:r>
          </w:p>
        </w:tc>
      </w:tr>
      <w:tr w:rsidR="00892FF7" w:rsidRPr="003E6928" w14:paraId="2945EBE6" w14:textId="77777777" w:rsidTr="00685C8D">
        <w:tc>
          <w:tcPr>
            <w:tcW w:w="340" w:type="dxa"/>
          </w:tcPr>
          <w:p w14:paraId="71CD484A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21</w:t>
            </w:r>
          </w:p>
        </w:tc>
        <w:tc>
          <w:tcPr>
            <w:tcW w:w="2268" w:type="dxa"/>
          </w:tcPr>
          <w:p w14:paraId="6B5B2A7A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Peserta didik mampu menganalisis tujuan </w:t>
            </w:r>
            <w:r>
              <w:rPr>
                <w:rFonts w:ascii="Arial" w:hAnsi="Arial"/>
                <w:sz w:val="16"/>
              </w:rPr>
              <w:t>partisipasi pemilih pemula dan menunjukkan perilaku demokratis yang bertanggung jawab.</w:t>
            </w:r>
          </w:p>
        </w:tc>
        <w:tc>
          <w:tcPr>
            <w:tcW w:w="1701" w:type="dxa"/>
          </w:tcPr>
          <w:p w14:paraId="2379843B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Demokrasi Indonesia, partisipasi warga negara, pemilih pemula, dan politik uang</w:t>
            </w:r>
          </w:p>
        </w:tc>
        <w:tc>
          <w:tcPr>
            <w:tcW w:w="737" w:type="dxa"/>
          </w:tcPr>
          <w:p w14:paraId="07D2934B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XII / F</w:t>
            </w:r>
          </w:p>
        </w:tc>
        <w:tc>
          <w:tcPr>
            <w:tcW w:w="2835" w:type="dxa"/>
          </w:tcPr>
          <w:p w14:paraId="34695F24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informasi kampanye untuk menentukan perilaku pemilih pemula yang ber</w:t>
            </w:r>
            <w:r>
              <w:rPr>
                <w:rFonts w:ascii="Arial" w:hAnsi="Arial"/>
                <w:sz w:val="16"/>
              </w:rPr>
              <w:t>integritas dan rasional.</w:t>
            </w:r>
          </w:p>
        </w:tc>
        <w:tc>
          <w:tcPr>
            <w:tcW w:w="1020" w:type="dxa"/>
          </w:tcPr>
          <w:p w14:paraId="4973B913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778FF54D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 kompleks</w:t>
            </w:r>
          </w:p>
        </w:tc>
        <w:tc>
          <w:tcPr>
            <w:tcW w:w="454" w:type="dxa"/>
          </w:tcPr>
          <w:p w14:paraId="68C27E49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21</w:t>
            </w:r>
          </w:p>
        </w:tc>
      </w:tr>
      <w:tr w:rsidR="00892FF7" w:rsidRPr="003E6928" w14:paraId="0A267523" w14:textId="77777777" w:rsidTr="00685C8D">
        <w:tc>
          <w:tcPr>
            <w:tcW w:w="340" w:type="dxa"/>
          </w:tcPr>
          <w:p w14:paraId="0873A558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22</w:t>
            </w:r>
          </w:p>
        </w:tc>
        <w:tc>
          <w:tcPr>
            <w:tcW w:w="2268" w:type="dxa"/>
          </w:tcPr>
          <w:p w14:paraId="579AC6E2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Peserta didik mampu menganalisis tujuan partisipasi pemilih pemula dan menunjukkan perilaku demokratis yang bertanggung jawab.</w:t>
            </w:r>
          </w:p>
        </w:tc>
        <w:tc>
          <w:tcPr>
            <w:tcW w:w="1701" w:type="dxa"/>
          </w:tcPr>
          <w:p w14:paraId="67CCA27E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Demokrasi Indonesia, partisipasi warga negara, </w:t>
            </w:r>
            <w:r>
              <w:rPr>
                <w:rFonts w:ascii="Arial" w:hAnsi="Arial"/>
                <w:sz w:val="16"/>
              </w:rPr>
              <w:t>pemilih pemula, dan politik uang</w:t>
            </w:r>
          </w:p>
        </w:tc>
        <w:tc>
          <w:tcPr>
            <w:tcW w:w="737" w:type="dxa"/>
          </w:tcPr>
          <w:p w14:paraId="3082A62C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XII / F</w:t>
            </w:r>
          </w:p>
        </w:tc>
        <w:tc>
          <w:tcPr>
            <w:tcW w:w="2835" w:type="dxa"/>
          </w:tcPr>
          <w:p w14:paraId="1F2DBD21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informasi kampanye untuk menentukan perilaku pemilih pemula yang berintegritas dan rasional.</w:t>
            </w:r>
          </w:p>
        </w:tc>
        <w:tc>
          <w:tcPr>
            <w:tcW w:w="1020" w:type="dxa"/>
          </w:tcPr>
          <w:p w14:paraId="38BD57FB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52E50C7A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 kompleks</w:t>
            </w:r>
          </w:p>
        </w:tc>
        <w:tc>
          <w:tcPr>
            <w:tcW w:w="454" w:type="dxa"/>
          </w:tcPr>
          <w:p w14:paraId="381C8B6C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22</w:t>
            </w:r>
          </w:p>
        </w:tc>
      </w:tr>
      <w:tr w:rsidR="003E6928" w:rsidRPr="003E6928" w14:paraId="3F668668" w14:textId="77777777" w:rsidTr="00685C8D">
        <w:tc>
          <w:tcPr>
            <w:tcW w:w="340" w:type="dxa"/>
          </w:tcPr>
          <w:p w14:paraId="3A1D85AD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23</w:t>
            </w:r>
          </w:p>
        </w:tc>
        <w:tc>
          <w:tcPr>
            <w:tcW w:w="2268" w:type="dxa"/>
          </w:tcPr>
          <w:p w14:paraId="199E16B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Peserta didik mampu menganalisis tujuan </w:t>
            </w:r>
            <w:r>
              <w:rPr>
                <w:rFonts w:ascii="Arial" w:hAnsi="Arial"/>
                <w:sz w:val="16"/>
              </w:rPr>
              <w:t>partisipasi pemilih pemula dan menunjukkan perilaku demokratis yang bertanggung jawab.</w:t>
            </w:r>
          </w:p>
        </w:tc>
        <w:tc>
          <w:tcPr>
            <w:tcW w:w="1701" w:type="dxa"/>
          </w:tcPr>
          <w:p w14:paraId="60DA2E4A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Demokrasi Indonesia, partisipasi warga negara, pemilih pemula, dan politik uang</w:t>
            </w:r>
          </w:p>
        </w:tc>
        <w:tc>
          <w:tcPr>
            <w:tcW w:w="737" w:type="dxa"/>
          </w:tcPr>
          <w:p w14:paraId="2D2EB57C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XII / F</w:t>
            </w:r>
          </w:p>
        </w:tc>
        <w:tc>
          <w:tcPr>
            <w:tcW w:w="2835" w:type="dxa"/>
          </w:tcPr>
          <w:p w14:paraId="73F51F6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informasi kampanye untuk menentukan perilaku pemilih pemula yang ber</w:t>
            </w:r>
            <w:r>
              <w:rPr>
                <w:rFonts w:ascii="Arial" w:hAnsi="Arial"/>
                <w:sz w:val="16"/>
              </w:rPr>
              <w:t>integritas dan rasional.</w:t>
            </w:r>
          </w:p>
        </w:tc>
        <w:tc>
          <w:tcPr>
            <w:tcW w:w="1020" w:type="dxa"/>
          </w:tcPr>
          <w:p w14:paraId="1DC2859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4A8BBD4F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 kompleks</w:t>
            </w:r>
          </w:p>
        </w:tc>
        <w:tc>
          <w:tcPr>
            <w:tcW w:w="454" w:type="dxa"/>
          </w:tcPr>
          <w:p w14:paraId="6DEA562A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23</w:t>
            </w:r>
          </w:p>
        </w:tc>
      </w:tr>
      <w:tr w:rsidR="00892FF7" w:rsidRPr="003E6928" w14:paraId="193330A8" w14:textId="77777777" w:rsidTr="00685C8D">
        <w:tc>
          <w:tcPr>
            <w:tcW w:w="340" w:type="dxa"/>
          </w:tcPr>
          <w:p w14:paraId="51F87AA0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24</w:t>
            </w:r>
          </w:p>
        </w:tc>
        <w:tc>
          <w:tcPr>
            <w:tcW w:w="2268" w:type="dxa"/>
          </w:tcPr>
          <w:p w14:paraId="44851F38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Peserta didik mampu menganalisis tujuan partisipasi pemilih pemula dan menunjukkan perilaku demokratis yang bertanggung jawab.</w:t>
            </w:r>
          </w:p>
        </w:tc>
        <w:tc>
          <w:tcPr>
            <w:tcW w:w="1701" w:type="dxa"/>
          </w:tcPr>
          <w:p w14:paraId="420B920B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Demokrasi Indonesia, partisipasi warga negara, </w:t>
            </w:r>
            <w:r>
              <w:rPr>
                <w:rFonts w:ascii="Arial" w:hAnsi="Arial"/>
                <w:sz w:val="16"/>
              </w:rPr>
              <w:t>pemilih pemula, dan politik uang</w:t>
            </w:r>
          </w:p>
        </w:tc>
        <w:tc>
          <w:tcPr>
            <w:tcW w:w="737" w:type="dxa"/>
          </w:tcPr>
          <w:p w14:paraId="50EE7CA6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XII / F</w:t>
            </w:r>
          </w:p>
        </w:tc>
        <w:tc>
          <w:tcPr>
            <w:tcW w:w="2835" w:type="dxa"/>
          </w:tcPr>
          <w:p w14:paraId="6830BF2C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Menganalisis informasi kampanye untuk menentukan perilaku pemilih pemula yang berintegritas dan rasional.</w:t>
            </w:r>
          </w:p>
        </w:tc>
        <w:tc>
          <w:tcPr>
            <w:tcW w:w="1020" w:type="dxa"/>
          </w:tcPr>
          <w:p w14:paraId="3122F724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256FF918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 kompleks</w:t>
            </w:r>
          </w:p>
        </w:tc>
        <w:tc>
          <w:tcPr>
            <w:tcW w:w="454" w:type="dxa"/>
          </w:tcPr>
          <w:p w14:paraId="53B3DF7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24</w:t>
            </w:r>
          </w:p>
        </w:tc>
      </w:tr>
      <w:tr w:rsidR="00892FF7" w:rsidRPr="003E6928" w14:paraId="0493F918" w14:textId="77777777" w:rsidTr="00685C8D">
        <w:tc>
          <w:tcPr>
            <w:tcW w:w="340" w:type="dxa"/>
          </w:tcPr>
          <w:p w14:paraId="3690B89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lastRenderedPageBreak/>
              <w:t>25</w:t>
            </w:r>
          </w:p>
        </w:tc>
        <w:tc>
          <w:tcPr>
            <w:tcW w:w="2268" w:type="dxa"/>
          </w:tcPr>
          <w:p w14:paraId="690642F5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Peserta didik mampu menganalisis tujuan partisipasi pemilih p</w:t>
            </w:r>
            <w:r>
              <w:rPr>
                <w:rFonts w:ascii="Arial" w:hAnsi="Arial"/>
                <w:sz w:val="16"/>
              </w:rPr>
              <w:t>emula dan menunjukkan perilaku demokratis yang bertanggung jawab.</w:t>
            </w:r>
          </w:p>
        </w:tc>
        <w:tc>
          <w:tcPr>
            <w:tcW w:w="1701" w:type="dxa"/>
          </w:tcPr>
          <w:p w14:paraId="3043A37F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Demokrasi Indonesia, partisipasi warga negara, pemilih pemula, dan politik uang</w:t>
            </w:r>
          </w:p>
        </w:tc>
        <w:tc>
          <w:tcPr>
            <w:tcW w:w="737" w:type="dxa"/>
          </w:tcPr>
          <w:p w14:paraId="2DE40798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XII / F</w:t>
            </w:r>
          </w:p>
        </w:tc>
        <w:tc>
          <w:tcPr>
            <w:tcW w:w="2835" w:type="dxa"/>
          </w:tcPr>
          <w:p w14:paraId="20041E7F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 xml:space="preserve">Menganalisis informasi kampanye untuk menentukan perilaku pemilih pemula yang </w:t>
            </w:r>
            <w:r>
              <w:rPr>
                <w:rFonts w:ascii="Arial" w:hAnsi="Arial"/>
                <w:sz w:val="16"/>
              </w:rPr>
              <w:t>berintegritas dan rasional.</w:t>
            </w:r>
          </w:p>
        </w:tc>
        <w:tc>
          <w:tcPr>
            <w:tcW w:w="1020" w:type="dxa"/>
          </w:tcPr>
          <w:p w14:paraId="5912C487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C4 – Menganalisis</w:t>
            </w:r>
          </w:p>
        </w:tc>
        <w:tc>
          <w:tcPr>
            <w:tcW w:w="1134" w:type="dxa"/>
          </w:tcPr>
          <w:p w14:paraId="400A5971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Pilihan ganda kompleks</w:t>
            </w:r>
          </w:p>
        </w:tc>
        <w:tc>
          <w:tcPr>
            <w:tcW w:w="454" w:type="dxa"/>
          </w:tcPr>
          <w:p w14:paraId="68161B31" w14:textId="77777777" w:rsidR="00D85970" w:rsidRDefault="005C475F">
            <w:pPr>
              <w:spacing w:after="0"/>
            </w:pPr>
            <w:r>
              <w:rPr>
                <w:rFonts w:ascii="Arial" w:hAnsi="Arial"/>
                <w:sz w:val="16"/>
              </w:rPr>
              <w:t>25</w:t>
            </w:r>
          </w:p>
        </w:tc>
      </w:tr>
    </w:tbl>
    <w:p w14:paraId="3BC7C3AB" w14:textId="77777777" w:rsidR="00EF4F28" w:rsidRPr="003E6928" w:rsidRDefault="00EF4F2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AA4891" w14:textId="045DF675" w:rsidR="00FE4A63" w:rsidRPr="003E6928" w:rsidRDefault="00D803FC" w:rsidP="00EA44F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Arial" w:eastAsia="Times New Roman" w:hAnsi="Arial" w:cs="Times New Roman"/>
          <w:sz w:val="20"/>
          <w:szCs w:val="24"/>
          <w:lang w:val="en-US"/>
        </w:rPr>
        <w:t xml:space="preserve">Paya </w:t>
      </w:r>
      <w:proofErr w:type="spellStart"/>
      <w:r>
        <w:rPr>
          <w:rFonts w:ascii="Arial" w:eastAsia="Times New Roman" w:hAnsi="Arial" w:cs="Times New Roman"/>
          <w:sz w:val="20"/>
          <w:szCs w:val="24"/>
          <w:lang w:val="en-US"/>
        </w:rPr>
        <w:t>Bakong</w:t>
      </w:r>
      <w:proofErr w:type="spellEnd"/>
      <w:r w:rsidR="00FE4A63" w:rsidRPr="003E6928">
        <w:rPr>
          <w:rFonts w:ascii="Arial" w:eastAsia="Times New Roman" w:hAnsi="Arial" w:cs="Times New Roman"/>
          <w:sz w:val="20"/>
          <w:szCs w:val="24"/>
          <w:lang w:val="en-US"/>
        </w:rPr>
        <w:t xml:space="preserve">, </w:t>
      </w:r>
      <w:r>
        <w:rPr>
          <w:rFonts w:ascii="Arial" w:eastAsia="Times New Roman" w:hAnsi="Arial" w:cs="Times New Roman"/>
          <w:sz w:val="20"/>
          <w:szCs w:val="24"/>
          <w:lang w:val="en-US"/>
        </w:rPr>
        <w:t xml:space="preserve">23 Agustus </w:t>
      </w:r>
      <w:r w:rsidR="00FE4A63" w:rsidRPr="003E6928">
        <w:rPr>
          <w:rFonts w:ascii="Arial" w:eastAsia="Times New Roman" w:hAnsi="Arial" w:cs="Times New Roman"/>
          <w:sz w:val="20"/>
          <w:szCs w:val="24"/>
          <w:lang w:val="en-US"/>
        </w:rPr>
        <w:t>202</w:t>
      </w:r>
      <w:r w:rsidR="00C9509F">
        <w:rPr>
          <w:rFonts w:ascii="Arial" w:eastAsia="Times New Roman" w:hAnsi="Arial" w:cs="Times New Roman"/>
          <w:sz w:val="20"/>
          <w:szCs w:val="24"/>
          <w:lang w:val="en-US"/>
        </w:rPr>
        <w:t>6</w:t>
      </w:r>
    </w:p>
    <w:p w14:paraId="1AE1FBFD" w14:textId="77735E8C" w:rsidR="00FE4A63" w:rsidRPr="003E6928" w:rsidRDefault="00FE4A63" w:rsidP="00D803FC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E6928">
        <w:rPr>
          <w:rFonts w:ascii="Arial" w:eastAsia="Times New Roman" w:hAnsi="Arial" w:cs="Times New Roman"/>
          <w:sz w:val="20"/>
          <w:szCs w:val="24"/>
          <w:lang w:val="en-US"/>
        </w:rPr>
        <w:t>Penulis</w:t>
      </w:r>
      <w:proofErr w:type="spellEnd"/>
      <w:r w:rsidRPr="003E6928">
        <w:rPr>
          <w:rFonts w:ascii="Arial" w:eastAsia="Times New Roman" w:hAnsi="Arial" w:cs="Times New Roman"/>
          <w:sz w:val="20"/>
          <w:szCs w:val="24"/>
          <w:lang w:val="en-US"/>
        </w:rPr>
        <w:t xml:space="preserve"> Soal</w:t>
      </w:r>
    </w:p>
    <w:sectPr w:rsidR="00FE4A63" w:rsidRPr="003E6928" w:rsidSect="00FE4A63">
      <w:pgSz w:w="16839" w:h="11907" w:orient="landscape"/>
      <w:pgMar w:top="426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F28"/>
    <w:rsid w:val="00027AF7"/>
    <w:rsid w:val="000777DB"/>
    <w:rsid w:val="000E1869"/>
    <w:rsid w:val="00113BCC"/>
    <w:rsid w:val="001569FA"/>
    <w:rsid w:val="00163BDA"/>
    <w:rsid w:val="001C2414"/>
    <w:rsid w:val="00202E6B"/>
    <w:rsid w:val="0021323B"/>
    <w:rsid w:val="00235E9E"/>
    <w:rsid w:val="0026204A"/>
    <w:rsid w:val="00267540"/>
    <w:rsid w:val="00290067"/>
    <w:rsid w:val="002E5D69"/>
    <w:rsid w:val="00305254"/>
    <w:rsid w:val="00331830"/>
    <w:rsid w:val="00345B15"/>
    <w:rsid w:val="00354F4C"/>
    <w:rsid w:val="003A608B"/>
    <w:rsid w:val="003E6928"/>
    <w:rsid w:val="004501F8"/>
    <w:rsid w:val="004919FF"/>
    <w:rsid w:val="00494D0A"/>
    <w:rsid w:val="005016BC"/>
    <w:rsid w:val="00540EAC"/>
    <w:rsid w:val="005C475F"/>
    <w:rsid w:val="00685C8D"/>
    <w:rsid w:val="006E13F9"/>
    <w:rsid w:val="006F4833"/>
    <w:rsid w:val="00741A45"/>
    <w:rsid w:val="007610D0"/>
    <w:rsid w:val="00780EDE"/>
    <w:rsid w:val="007943F5"/>
    <w:rsid w:val="008022E1"/>
    <w:rsid w:val="00802551"/>
    <w:rsid w:val="008055E1"/>
    <w:rsid w:val="00817A40"/>
    <w:rsid w:val="00857C02"/>
    <w:rsid w:val="00892FF7"/>
    <w:rsid w:val="008A7033"/>
    <w:rsid w:val="00943938"/>
    <w:rsid w:val="00944647"/>
    <w:rsid w:val="009A66E6"/>
    <w:rsid w:val="009F0896"/>
    <w:rsid w:val="00A05BA2"/>
    <w:rsid w:val="00A06810"/>
    <w:rsid w:val="00A4532C"/>
    <w:rsid w:val="00A66EA8"/>
    <w:rsid w:val="00A75817"/>
    <w:rsid w:val="00A96EC0"/>
    <w:rsid w:val="00AA1BD9"/>
    <w:rsid w:val="00AB6875"/>
    <w:rsid w:val="00BD3354"/>
    <w:rsid w:val="00BF3F71"/>
    <w:rsid w:val="00C9509F"/>
    <w:rsid w:val="00CB421C"/>
    <w:rsid w:val="00CE060A"/>
    <w:rsid w:val="00CE3ADD"/>
    <w:rsid w:val="00CF60E5"/>
    <w:rsid w:val="00D40254"/>
    <w:rsid w:val="00D803FC"/>
    <w:rsid w:val="00D85970"/>
    <w:rsid w:val="00D9095B"/>
    <w:rsid w:val="00DC29B8"/>
    <w:rsid w:val="00DE0EF1"/>
    <w:rsid w:val="00E96F89"/>
    <w:rsid w:val="00EA44F7"/>
    <w:rsid w:val="00EC632E"/>
    <w:rsid w:val="00ED68A2"/>
    <w:rsid w:val="00EF1620"/>
    <w:rsid w:val="00EF1946"/>
    <w:rsid w:val="00EF4F28"/>
    <w:rsid w:val="00F7658B"/>
    <w:rsid w:val="00FA57F2"/>
    <w:rsid w:val="00FB3146"/>
    <w:rsid w:val="00FB33DB"/>
    <w:rsid w:val="00FC6474"/>
    <w:rsid w:val="00FD2AFD"/>
    <w:rsid w:val="00FE4A63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1D179"/>
  <w15:docId w15:val="{47F2E8DE-B25A-446B-8116-8B49355E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BodyText">
    <w:name w:val="Body Text"/>
    <w:basedOn w:val="Normal"/>
    <w:link w:val="BodyTextChar"/>
    <w:uiPriority w:val="1"/>
    <w:qFormat/>
    <w:rsid w:val="00AA1BD9"/>
    <w:pPr>
      <w:widowControl w:val="0"/>
      <w:autoSpaceDE w:val="0"/>
      <w:autoSpaceDN w:val="0"/>
      <w:spacing w:after="0" w:line="240" w:lineRule="auto"/>
      <w:ind w:left="3445"/>
      <w:jc w:val="both"/>
    </w:pPr>
    <w:rPr>
      <w:rFonts w:ascii="Verdana" w:eastAsia="Verdana" w:hAnsi="Verdana" w:cs="Verdana"/>
      <w:sz w:val="23"/>
      <w:szCs w:val="23"/>
      <w:lang w:val="id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1BD9"/>
    <w:rPr>
      <w:rFonts w:ascii="Verdana" w:eastAsia="Verdana" w:hAnsi="Verdana" w:cs="Verdana"/>
      <w:sz w:val="23"/>
      <w:szCs w:val="23"/>
      <w:lang w:val="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88DD8-2250-409C-9D84-92FA0A905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Kisi-Kisi Penulisan Soal TKA Fisika</vt:lpstr>
    </vt:vector>
  </TitlesOfParts>
  <Company/>
  <LinksUpToDate>false</LinksUpToDate>
  <CharactersWithSpaces>9557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Kisi-Kisi Penulisan Soal TKA Fisika</dc:title>
  <dc:creator>JHON ABDI</dc:creator>
  <cp:lastModifiedBy>ASUS</cp:lastModifiedBy>
  <cp:revision>4</cp:revision>
  <dcterms:created xsi:type="dcterms:W3CDTF">2026-08-23T00:08:00Z</dcterms:created>
  <dcterms:modified xsi:type="dcterms:W3CDTF">2026-08-22T22:57:00Z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0af66ea9-efd6-4612-acbc-3f57494153e5</vt:lpwstr>
  </property>
</Properties>
</file>