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00"/>
      </w:pPr>
    </w:p>
    <w:p>
      <w:pPr>
        <w:jc w:val="center"/>
      </w:pPr>
      <w:r>
        <w:rPr>
          <w:b/>
          <w:bCs/>
          <w:color w:val="595959"/>
          <w:sz w:val="30"/>
          <w:szCs w:val="30"/>
        </w:rPr>
        <w:t xml:space="preserve">BAHAN MATERI KEGIATAN MGMP</w:t>
      </w:r>
    </w:p>
    <w:p>
      <w:pPr>
        <w:spacing w:before="300"/>
        <w:jc w:val="center"/>
      </w:pPr>
      <w:r>
        <w:rPr>
          <w:b/>
          <w:bCs/>
          <w:color w:val="1F3864"/>
          <w:sz w:val="40"/>
          <w:szCs w:val="40"/>
        </w:rPr>
        <w:t xml:space="preserve">PENYUSUNAN DAN REVIU MODUL AJAR/LKPD</w:t>
      </w:r>
    </w:p>
    <w:p>
      <w:pPr>
        <w:jc w:val="center"/>
      </w:pPr>
      <w:r>
        <w:rPr>
          <w:b/>
          <w:bCs/>
          <w:color w:val="1F3864"/>
          <w:sz w:val="40"/>
          <w:szCs w:val="40"/>
        </w:rPr>
        <w:t xml:space="preserve">TERINTEGRASI LITERASI-NUMERASI</w:t>
      </w:r>
    </w:p>
    <w:p>
      <w:pPr>
        <w:spacing w:before="200"/>
        <w:jc w:val="center"/>
      </w:pPr>
      <w:r>
        <w:rPr>
          <w:b/>
          <w:bCs/>
          <w:color w:val="0F6E6E"/>
          <w:sz w:val="26"/>
          <w:szCs w:val="26"/>
        </w:rPr>
        <w:t xml:space="preserve">pada Kompetensi Keahlian Agribisnis Perikanan Air Tawar</w:t>
      </w:r>
    </w:p>
    <w:p>
      <w:pPr>
        <w:spacing w:before="900"/>
        <w:jc w:val="center"/>
      </w:pPr>
      <w:r>
        <w:rPr>
          <w:b/>
          <w:bCs/>
          <w:color w:val="595959"/>
          <w:sz w:val="24"/>
          <w:szCs w:val="24"/>
        </w:rPr>
        <w:t xml:space="preserve">MGMP AGRIBISNIS PERIKANAN AIR TAWAR</w:t>
      </w:r>
    </w:p>
    <w:p>
      <w:pPr>
        <w:spacing w:before="800"/>
        <w:jc w:val="center"/>
      </w:pPr>
      <w:r>
        <w:rPr>
          <w:sz w:val="22"/>
          <w:szCs w:val="22"/>
        </w:rPr>
        <w:t xml:space="preserve">Disusun oleh:</w:t>
      </w:r>
    </w:p>
    <w:p>
      <w:pPr>
        <w:jc w:val="center"/>
      </w:pPr>
      <w:r>
        <w:rPr>
          <w:b/>
          <w:bCs/>
          <w:sz w:val="24"/>
          <w:szCs w:val="24"/>
        </w:rPr>
        <w:t xml:space="preserve">Ade Kayana, S.Pi</w:t>
      </w:r>
    </w:p>
    <w:p>
      <w:pPr>
        <w:jc w:val="center"/>
      </w:pPr>
      <w:r>
        <w:rPr>
          <w:i/>
          <w:iCs/>
          <w:sz w:val="20"/>
          <w:szCs w:val="20"/>
        </w:rPr>
        <w:t xml:space="preserve">Ketua MGMP Agribisnis Perikanan Air Tawar</w:t>
      </w:r>
    </w:p>
    <w:p>
      <w:pPr>
        <w:spacing w:before="1200"/>
        <w:jc w:val="center"/>
      </w:pPr>
      <w:r>
        <w:rPr>
          <w:b/>
          <w:bCs/>
          <w:color w:val="1F3864"/>
          <w:sz w:val="24"/>
          <w:szCs w:val="24"/>
        </w:rPr>
        <w:t xml:space="preserve">TAHUN PELAJARAN 2026/2027</w:t>
      </w:r>
    </w:p>
    <w:p>
      <w:r>
        <w:br w:type="page"/>
      </w:r>
    </w:p>
    <w:p>
      <w:pPr>
        <w:pStyle w:val="Heading1"/>
        <w:spacing w:after="160" w:before="320"/>
      </w:pPr>
      <w:r>
        <w:rPr>
          <w:b/>
          <w:bCs/>
          <w:color w:val="1F3864"/>
          <w:sz w:val="28"/>
          <w:szCs w:val="28"/>
        </w:rPr>
        <w:t xml:space="preserve">BAB I PENDAHULUAN</w:t>
      </w:r>
    </w:p>
    <w:p>
      <w:pPr>
        <w:pStyle w:val="Heading2"/>
        <w:spacing w:after="120" w:before="240"/>
      </w:pPr>
      <w:r>
        <w:rPr>
          <w:b/>
          <w:bCs/>
          <w:color w:val="0F6E6E"/>
          <w:sz w:val="24"/>
          <w:szCs w:val="24"/>
        </w:rPr>
        <w:t xml:space="preserve">A. Latar Belakang</w:t>
      </w:r>
    </w:p>
    <w:p>
      <w:pPr>
        <w:spacing w:after="160" w:line="300"/>
        <w:jc w:val="both"/>
      </w:pPr>
      <w:r>
        <w:rPr>
          <w:i w:val="false"/>
          <w:iCs w:val="false"/>
          <w:sz w:val="22"/>
          <w:szCs w:val="22"/>
        </w:rPr>
        <w:t xml:space="preserve">Kurikulum Merdeka menempatkan literasi dan numerasi sebagai kompetensi dasar yang harus diperkuat pada semua mata pelajaran, termasuk mata pelajaran Kompetensi Keahlian di SMK. Pada Kompetensi Keahlian Agribisnis Perikanan Air Tawar, kemampuan literasi tampak pada kecakapan peserta didik membaca dan memahami prosedur kerja (SOP), label pakan/obat ikan, serta informasi teknis budi daya, sedangkan kemampuan numerasi tampak pada kecakapan menghitung padat tebar, dosis pakan, rasio konversi pakan (FCR), tingkat kelangsungan hidup (SR), dan parameter kualitas air.</w:t>
      </w:r>
    </w:p>
    <w:p>
      <w:pPr>
        <w:spacing w:after="160" w:line="300"/>
        <w:jc w:val="both"/>
      </w:pPr>
      <w:r>
        <w:rPr>
          <w:i w:val="false"/>
          <w:iCs w:val="false"/>
          <w:sz w:val="22"/>
          <w:szCs w:val="22"/>
        </w:rPr>
        <w:t xml:space="preserve">Dalam praktiknya, modul ajar dan Lembar Kerja Peserta Didik (LKPD) yang digunakan guru belum seluruhnya dirancang untuk secara sengaja melatih dua kompetensi dasar tersebut. Banyak modul ajar/LKPD baru menekankan aspek keterampilan teknis, sementara muatan literasi (membaca teks fungsional, menginterpretasi grafik/data) dan numerasi (perhitungan, analisis kuantitatif) belum terintegrasi secara eksplisit dalam tujuan pembelajaran, aktivitas, maupun asesmen.</w:t>
      </w:r>
    </w:p>
    <w:p>
      <w:pPr>
        <w:spacing w:after="160" w:line="300"/>
        <w:jc w:val="both"/>
      </w:pPr>
      <w:r>
        <w:rPr>
          <w:i w:val="false"/>
          <w:iCs w:val="false"/>
          <w:sz w:val="22"/>
          <w:szCs w:val="22"/>
        </w:rPr>
        <w:t xml:space="preserve">Berdasarkan kondisi tersebut, MGMP Agribisnis Perikanan Air Tawar memandang perlu menyelenggarakan kegiatan penyusunan dan reviu modul ajar/LKPD yang terintegrasi literasi-numerasi, sebagai wadah kolaborasi guru lintas satuan pendidikan untuk saling menyusun, menelaah, dan menyempurnakan perangkat ajar sebelum digunakan di kelas.</w:t>
      </w:r>
    </w:p>
    <w:p>
      <w:pPr>
        <w:pStyle w:val="Heading2"/>
        <w:spacing w:after="120" w:before="240"/>
      </w:pPr>
      <w:r>
        <w:rPr>
          <w:b/>
          <w:bCs/>
          <w:color w:val="0F6E6E"/>
          <w:sz w:val="24"/>
          <w:szCs w:val="24"/>
        </w:rPr>
        <w:t xml:space="preserve">B. Dasar Kegiatan</w:t>
      </w:r>
    </w:p>
    <w:p>
      <w:pPr>
        <w:pStyle w:val="ListParagraph"/>
        <w:numPr>
          <w:ilvl w:val="0"/>
          <w:numId w:val="2"/>
        </w:numPr>
        <w:spacing w:after="100" w:line="280"/>
      </w:pPr>
      <w:r>
        <w:rPr>
          <w:sz w:val="22"/>
          <w:szCs w:val="22"/>
        </w:rPr>
        <w:t xml:space="preserve">Program Kerja (Proker) MGMP Agribisnis Perikanan Air Tawar Tahun Pelajaran 2026/2027 Semester Ganjil.</w:t>
      </w:r>
    </w:p>
    <w:p>
      <w:pPr>
        <w:pStyle w:val="ListParagraph"/>
        <w:numPr>
          <w:ilvl w:val="0"/>
          <w:numId w:val="2"/>
        </w:numPr>
        <w:spacing w:after="100" w:line="280"/>
      </w:pPr>
      <w:r>
        <w:rPr>
          <w:sz w:val="22"/>
          <w:szCs w:val="22"/>
        </w:rPr>
        <w:t xml:space="preserve">Kurikulum Merdeka yang menekankan penguatan literasi dan numerasi sebagai kompetensi dasar lintas mata pelajaran.</w:t>
      </w:r>
    </w:p>
    <w:p>
      <w:pPr>
        <w:pStyle w:val="ListParagraph"/>
        <w:numPr>
          <w:ilvl w:val="0"/>
          <w:numId w:val="2"/>
        </w:numPr>
        <w:spacing w:after="100" w:line="280"/>
      </w:pPr>
      <w:r>
        <w:rPr>
          <w:sz w:val="22"/>
          <w:szCs w:val="22"/>
        </w:rPr>
        <w:t xml:space="preserve">Kebutuhan persiapan peserta didik menghadapi Tes Kemampuan Akademik (TKA) yang memuat komponen literasi dan numerasi.</w:t>
      </w:r>
    </w:p>
    <w:p>
      <w:pPr>
        <w:pStyle w:val="Heading2"/>
        <w:spacing w:after="120" w:before="240"/>
      </w:pPr>
      <w:r>
        <w:rPr>
          <w:b/>
          <w:bCs/>
          <w:color w:val="0F6E6E"/>
          <w:sz w:val="24"/>
          <w:szCs w:val="24"/>
        </w:rPr>
        <w:t xml:space="preserve">C. Tujuan Kegiatan</w:t>
      </w:r>
    </w:p>
    <w:p>
      <w:pPr>
        <w:pStyle w:val="ListParagraph"/>
        <w:numPr>
          <w:ilvl w:val="0"/>
          <w:numId w:val="3"/>
        </w:numPr>
        <w:spacing w:after="100" w:line="280"/>
      </w:pPr>
      <w:r>
        <w:rPr>
          <w:sz w:val="22"/>
          <w:szCs w:val="22"/>
        </w:rPr>
        <w:t xml:space="preserve">Menghasilkan modul ajar dan LKPD pada Kompetensi Keahlian Agribisnis Perikanan Air Tawar yang secara eksplisit memuat aktivitas dan asesmen literasi-numerasi.</w:t>
      </w:r>
    </w:p>
    <w:p>
      <w:pPr>
        <w:pStyle w:val="ListParagraph"/>
        <w:numPr>
          <w:ilvl w:val="0"/>
          <w:numId w:val="3"/>
        </w:numPr>
        <w:spacing w:after="100" w:line="280"/>
      </w:pPr>
      <w:r>
        <w:rPr>
          <w:sz w:val="22"/>
          <w:szCs w:val="22"/>
        </w:rPr>
        <w:t xml:space="preserve">Meningkatkan kemampuan guru dalam merancang aktivitas pembelajaran dan soal/LKPD yang menstimulasi kemampuan membaca-memahami teks fungsional dan kemampuan berhitung/analisis data dalam konteks perikanan air tawar.</w:t>
      </w:r>
    </w:p>
    <w:p>
      <w:pPr>
        <w:pStyle w:val="ListParagraph"/>
        <w:numPr>
          <w:ilvl w:val="0"/>
          <w:numId w:val="3"/>
        </w:numPr>
        <w:spacing w:after="100" w:line="280"/>
      </w:pPr>
      <w:r>
        <w:rPr>
          <w:sz w:val="22"/>
          <w:szCs w:val="22"/>
        </w:rPr>
        <w:t xml:space="preserve">Melakukan reviu sejawat (peer review) terhadap modul ajar/LKPD yang disusun, agar diperoleh perangkat ajar yang valid dan siap digunakan.</w:t>
      </w:r>
    </w:p>
    <w:p>
      <w:pPr>
        <w:pStyle w:val="ListParagraph"/>
        <w:numPr>
          <w:ilvl w:val="0"/>
          <w:numId w:val="3"/>
        </w:numPr>
        <w:spacing w:after="100" w:line="280"/>
      </w:pPr>
      <w:r>
        <w:rPr>
          <w:sz w:val="22"/>
          <w:szCs w:val="22"/>
        </w:rPr>
        <w:t xml:space="preserve">Mendukung penguatan kemampuan akademik peserta didik, khususnya dalam rangka persiapan TKA.</w:t>
      </w:r>
    </w:p>
    <w:p>
      <w:pPr>
        <w:pStyle w:val="Heading2"/>
        <w:spacing w:after="120" w:before="240"/>
      </w:pPr>
      <w:r>
        <w:rPr>
          <w:b/>
          <w:bCs/>
          <w:color w:val="0F6E6E"/>
          <w:sz w:val="24"/>
          <w:szCs w:val="24"/>
        </w:rPr>
        <w:t xml:space="preserve">D. Target/Output Kegiatan</w:t>
      </w:r>
    </w:p>
    <w:p>
      <w:pPr>
        <w:pStyle w:val="ListParagraph"/>
        <w:numPr>
          <w:ilvl w:val="0"/>
          <w:numId w:val="2"/>
        </w:numPr>
        <w:spacing w:after="100" w:line="280"/>
      </w:pPr>
      <w:r>
        <w:rPr>
          <w:sz w:val="22"/>
          <w:szCs w:val="22"/>
        </w:rPr>
        <w:t xml:space="preserve">Tersedianya minimal satu modul ajar dan satu LKPD terintegrasi literasi-numerasi per guru/satuan pendidikan untuk satu elemen/topik pembelajaran pada Kompetensi Keahlian Agribisnis Perikanan Air Tawar.</w:t>
      </w:r>
    </w:p>
    <w:p>
      <w:pPr>
        <w:pStyle w:val="ListParagraph"/>
        <w:numPr>
          <w:ilvl w:val="0"/>
          <w:numId w:val="2"/>
        </w:numPr>
        <w:spacing w:after="100" w:line="280"/>
      </w:pPr>
      <w:r>
        <w:rPr>
          <w:sz w:val="22"/>
          <w:szCs w:val="22"/>
        </w:rPr>
        <w:t xml:space="preserve">Terisinya instrumen reviu (rubrik telaah) untuk setiap modul ajar/LKPD yang direviu.</w:t>
      </w:r>
    </w:p>
    <w:p>
      <w:pPr>
        <w:pStyle w:val="ListParagraph"/>
        <w:numPr>
          <w:ilvl w:val="0"/>
          <w:numId w:val="2"/>
        </w:numPr>
        <w:spacing w:after="100" w:line="280"/>
      </w:pPr>
      <w:r>
        <w:rPr>
          <w:sz w:val="22"/>
          <w:szCs w:val="22"/>
        </w:rPr>
        <w:t xml:space="preserve">Tersusunnya rekapitulasi hasil reviu dan rencana tindak lanjut perbaikan.</w:t>
      </w:r>
    </w:p>
    <w:p>
      <w:pPr>
        <w:pStyle w:val="Heading1"/>
        <w:spacing w:after="160" w:before="320"/>
      </w:pPr>
      <w:r>
        <w:rPr>
          <w:b/>
          <w:bCs/>
          <w:color w:val="1F3864"/>
          <w:sz w:val="28"/>
          <w:szCs w:val="28"/>
        </w:rPr>
        <w:t xml:space="preserve">BAB II KONSEP DASAR INTEGRASI LITERASI-NUMERASI</w:t>
      </w:r>
    </w:p>
    <w:p>
      <w:pPr>
        <w:pStyle w:val="Heading2"/>
        <w:spacing w:after="120" w:before="240"/>
      </w:pPr>
      <w:r>
        <w:rPr>
          <w:b/>
          <w:bCs/>
          <w:color w:val="0F6E6E"/>
          <w:sz w:val="24"/>
          <w:szCs w:val="24"/>
        </w:rPr>
        <w:t xml:space="preserve">A. Pengertian</w:t>
      </w:r>
    </w:p>
    <w:p>
      <w:pPr>
        <w:spacing w:after="160" w:line="300"/>
        <w:jc w:val="both"/>
      </w:pPr>
      <w:r>
        <w:rPr>
          <w:i w:val="false"/>
          <w:iCs w:val="false"/>
          <w:sz w:val="22"/>
          <w:szCs w:val="22"/>
        </w:rPr>
        <w:t xml:space="preserve">Literasi dalam konteks pembelajaran adalah kemampuan mengakses, memahami, menggunakan, merefleksi, dan mengomunikasikan berbagai jenis teks (tulis, visual, digital) untuk mengembangkan pengetahuan dan berpartisipasi dalam masyarakat. Numerasi adalah kemampuan berpikir menggunakan konsep, prosedur, fakta, dan alat matematika untuk memecahkan masalah pada berbagai konteks kehidupan sehari-hari, termasuk konteks pekerjaan/produksi.</w:t>
      </w:r>
    </w:p>
    <w:p>
      <w:pPr>
        <w:spacing w:after="160" w:line="300"/>
        <w:jc w:val="both"/>
      </w:pPr>
      <w:r>
        <w:rPr>
          <w:i w:val="false"/>
          <w:iCs w:val="false"/>
          <w:sz w:val="22"/>
          <w:szCs w:val="22"/>
        </w:rPr>
        <w:t xml:space="preserve">Modul ajar dan LKPD dikatakan terintegrasi literasi-numerasi apabila kedua kompetensi tersebut hadir bukan sebagai pelengkap, melainkan tertanam secara sengaja pada tujuan pembelajaran, kegiatan inti, dan instrumen asesmen, sejalan dengan kompetensi teknis yang menjadi capaian pembelajaran mata pelajaran.</w:t>
      </w:r>
    </w:p>
    <w:p>
      <w:pPr>
        <w:pStyle w:val="Heading2"/>
        <w:spacing w:after="120" w:before="240"/>
      </w:pPr>
      <w:r>
        <w:rPr>
          <w:b/>
          <w:bCs/>
          <w:color w:val="0F6E6E"/>
          <w:sz w:val="24"/>
          <w:szCs w:val="24"/>
        </w:rPr>
        <w:t xml:space="preserve">B. Ciri Modul Ajar/LKPD Terintegrasi Literasi-Numerasi</w:t>
      </w:r>
    </w:p>
    <w:p>
      <w:pPr>
        <w:pStyle w:val="ListParagraph"/>
        <w:numPr>
          <w:ilvl w:val="0"/>
          <w:numId w:val="2"/>
        </w:numPr>
        <w:spacing w:after="100" w:line="280"/>
      </w:pPr>
      <w:r>
        <w:rPr>
          <w:sz w:val="22"/>
          <w:szCs w:val="22"/>
        </w:rPr>
        <w:t xml:space="preserve">Tujuan pembelajaran memuat kata kerja operasional yang mencerminkan literasi (membaca, menafsirkan, menyimpulkan) dan/atau numerasi (menghitung, menganalisis data, memprediksi).</w:t>
      </w:r>
    </w:p>
    <w:p>
      <w:pPr>
        <w:pStyle w:val="ListParagraph"/>
        <w:numPr>
          <w:ilvl w:val="0"/>
          <w:numId w:val="2"/>
        </w:numPr>
        <w:spacing w:after="100" w:line="280"/>
      </w:pPr>
      <w:r>
        <w:rPr>
          <w:sz w:val="22"/>
          <w:szCs w:val="22"/>
        </w:rPr>
        <w:t xml:space="preserve">Kegiatan pembelajaran menyertakan bahan bacaan fungsional (SOP, label, artikel populer) dan/atau data kuantitatif (tabel, grafik, hasil pengukuran) yang relevan dengan topik.</w:t>
      </w:r>
    </w:p>
    <w:p>
      <w:pPr>
        <w:pStyle w:val="ListParagraph"/>
        <w:numPr>
          <w:ilvl w:val="0"/>
          <w:numId w:val="2"/>
        </w:numPr>
        <w:spacing w:after="100" w:line="280"/>
      </w:pPr>
      <w:r>
        <w:rPr>
          <w:sz w:val="22"/>
          <w:szCs w:val="22"/>
        </w:rPr>
        <w:t xml:space="preserve">LKPD memuat pertanyaan/latihan yang menuntut peserta didik membaca-menafsirkan informasi serta melakukan perhitungan atau analisis data, bukan sekadar mengisi jawaban singkat.</w:t>
      </w:r>
    </w:p>
    <w:p>
      <w:pPr>
        <w:pStyle w:val="ListParagraph"/>
        <w:numPr>
          <w:ilvl w:val="0"/>
          <w:numId w:val="2"/>
        </w:numPr>
        <w:spacing w:after="100" w:line="280"/>
      </w:pPr>
      <w:r>
        <w:rPr>
          <w:sz w:val="22"/>
          <w:szCs w:val="22"/>
        </w:rPr>
        <w:t xml:space="preserve">Asesmen (formatif/sumatif) memuat soal bermuatan literasi (memahami wacana/ilustrasi) dan numerasi (hitungan, interpretasi data) sesuai konteks perikanan air tawar.</w:t>
      </w:r>
    </w:p>
    <w:p>
      <w:pPr>
        <w:pStyle w:val="Heading2"/>
        <w:spacing w:after="120" w:before="240"/>
      </w:pPr>
      <w:r>
        <w:rPr>
          <w:b/>
          <w:bCs/>
          <w:color w:val="0F6E6E"/>
          <w:sz w:val="24"/>
          <w:szCs w:val="24"/>
        </w:rPr>
        <w:t xml:space="preserve">C. Contoh Penerapan pada Kompetensi Keahlian Agribisnis Perikanan Air Tawar</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1500"/>
        <w:gridCol w:w="3600"/>
        <w:gridCol w:w="4700"/>
      </w:tblGrid>
      <w:tr>
        <w:tc>
          <w:tcPr>
            <w:tcW w:type="dxa" w:w="1500"/>
            <w:shd w:fill="1F3864" w:val="clear"/>
            <w:tcMar>
              <w:top w:type="dxa" w:w="80"/>
              <w:left w:type="dxa" w:w="100"/>
              <w:bottom w:type="dxa" w:w="80"/>
              <w:right w:type="dxa" w:w="100"/>
            </w:tcMar>
            <w:vAlign w:val="center"/>
          </w:tcPr>
          <w:p>
            <w:pPr>
              <w:jc w:val="center"/>
            </w:pPr>
            <w:r>
              <w:rPr>
                <w:b/>
                <w:bCs/>
                <w:color w:val="FFFFFF"/>
                <w:sz w:val="20"/>
                <w:szCs w:val="20"/>
              </w:rPr>
              <w:t xml:space="preserve">Aspek</w:t>
            </w:r>
          </w:p>
        </w:tc>
        <w:tc>
          <w:tcPr>
            <w:tcW w:type="dxa" w:w="3600"/>
            <w:shd w:fill="1F3864" w:val="clear"/>
            <w:tcMar>
              <w:top w:type="dxa" w:w="80"/>
              <w:left w:type="dxa" w:w="100"/>
              <w:bottom w:type="dxa" w:w="80"/>
              <w:right w:type="dxa" w:w="100"/>
            </w:tcMar>
            <w:vAlign w:val="center"/>
          </w:tcPr>
          <w:p>
            <w:pPr>
              <w:jc w:val="center"/>
            </w:pPr>
            <w:r>
              <w:rPr>
                <w:b/>
                <w:bCs/>
                <w:color w:val="FFFFFF"/>
                <w:sz w:val="20"/>
                <w:szCs w:val="20"/>
              </w:rPr>
              <w:t xml:space="preserve">Indikator dalam Pembelajaran</w:t>
            </w:r>
          </w:p>
        </w:tc>
        <w:tc>
          <w:tcPr>
            <w:tcW w:type="dxa" w:w="4700"/>
            <w:shd w:fill="1F3864" w:val="clear"/>
            <w:tcMar>
              <w:top w:type="dxa" w:w="80"/>
              <w:left w:type="dxa" w:w="100"/>
              <w:bottom w:type="dxa" w:w="80"/>
              <w:right w:type="dxa" w:w="100"/>
            </w:tcMar>
            <w:vAlign w:val="center"/>
          </w:tcPr>
          <w:p>
            <w:pPr>
              <w:jc w:val="center"/>
            </w:pPr>
            <w:r>
              <w:rPr>
                <w:b/>
                <w:bCs/>
                <w:color w:val="FFFFFF"/>
                <w:sz w:val="20"/>
                <w:szCs w:val="20"/>
              </w:rPr>
              <w:t xml:space="preserve">Contoh Aktivitas pada Kompetensi Keahlian APAT</w:t>
            </w:r>
          </w:p>
        </w:tc>
      </w:tr>
      <w:tr>
        <w:tc>
          <w:tcPr>
            <w:tcW w:type="dxa" w:w="2000"/>
            <w:shd w:fill="EAF2F2" w:val="clear"/>
            <w:tcMar>
              <w:top w:type="dxa" w:w="80"/>
              <w:left w:type="dxa" w:w="100"/>
              <w:bottom w:type="dxa" w:w="80"/>
              <w:right w:type="dxa" w:w="100"/>
            </w:tcMar>
            <w:vAlign w:val="center"/>
          </w:tcPr>
          <w:p>
            <w:pPr>
              <w:jc w:val="left"/>
            </w:pPr>
            <w:r>
              <w:rPr>
                <w:b w:val="false"/>
                <w:bCs w:val="false"/>
                <w:color w:val="000000"/>
                <w:sz w:val="20"/>
                <w:szCs w:val="20"/>
              </w:rPr>
              <w:t xml:space="preserve">Literasi</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Membaca dan memahami teks fungsional/prosedural</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Membaca dan menafsirkan SOP budi daya, label kemasan pakan/obat ikan, kemudian menuliskan kembali langkah kerja dengan bahasa sendiri</w:t>
            </w:r>
          </w:p>
        </w:tc>
      </w:tr>
      <w:tr>
        <w:tc>
          <w:tcPr>
            <w:tcW w:type="dxa" w:w="2000"/>
            <w:shd w:fill="EAF2F2" w:val="clear"/>
            <w:tcMar>
              <w:top w:type="dxa" w:w="80"/>
              <w:left w:type="dxa" w:w="100"/>
              <w:bottom w:type="dxa" w:w="80"/>
              <w:right w:type="dxa" w:w="100"/>
            </w:tcMar>
            <w:vAlign w:val="center"/>
          </w:tcPr>
          <w:p>
            <w:pPr>
              <w:jc w:val="left"/>
            </w:pPr>
            <w:r>
              <w:rPr>
                <w:b w:val="false"/>
                <w:bCs w:val="false"/>
                <w:color w:val="000000"/>
                <w:sz w:val="20"/>
                <w:szCs w:val="20"/>
              </w:rPr>
              <w:t xml:space="preserve">Literasi</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Menafsirkan informasi visual (grafik, tabel, diagram)</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Membaca grafik pertumbuhan ikan atau tabel kualitas air, lalu menjelaskan maknanya secara tertulis</w:t>
            </w:r>
          </w:p>
        </w:tc>
      </w:tr>
      <w:tr>
        <w:tc>
          <w:tcPr>
            <w:tcW w:type="dxa" w:w="2000"/>
            <w:shd w:fill="EAF2F2" w:val="clear"/>
            <w:tcMar>
              <w:top w:type="dxa" w:w="80"/>
              <w:left w:type="dxa" w:w="100"/>
              <w:bottom w:type="dxa" w:w="80"/>
              <w:right w:type="dxa" w:w="100"/>
            </w:tcMar>
            <w:vAlign w:val="center"/>
          </w:tcPr>
          <w:p>
            <w:pPr>
              <w:jc w:val="left"/>
            </w:pPr>
            <w:r>
              <w:rPr>
                <w:b w:val="false"/>
                <w:bCs w:val="false"/>
                <w:color w:val="000000"/>
                <w:sz w:val="20"/>
                <w:szCs w:val="20"/>
              </w:rPr>
              <w:t xml:space="preserve">Numerasi</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Menghitung dan menerapkan operasi bilangan dalam konteks nyata</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Menghitung padat tebar, dosis pakan, dosis obat/probiotik, dan kebutuhan pakan harian berdasarkan biomassa</w:t>
            </w:r>
          </w:p>
        </w:tc>
      </w:tr>
      <w:tr>
        <w:tc>
          <w:tcPr>
            <w:tcW w:type="dxa" w:w="2000"/>
            <w:shd w:fill="EAF2F2" w:val="clear"/>
            <w:tcMar>
              <w:top w:type="dxa" w:w="80"/>
              <w:left w:type="dxa" w:w="100"/>
              <w:bottom w:type="dxa" w:w="80"/>
              <w:right w:type="dxa" w:w="100"/>
            </w:tcMar>
            <w:vAlign w:val="center"/>
          </w:tcPr>
          <w:p>
            <w:pPr>
              <w:jc w:val="left"/>
            </w:pPr>
            <w:r>
              <w:rPr>
                <w:b w:val="false"/>
                <w:bCs w:val="false"/>
                <w:color w:val="000000"/>
                <w:sz w:val="20"/>
                <w:szCs w:val="20"/>
              </w:rPr>
              <w:t xml:space="preserve">Numerasi</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Menganalisis data dan membuat kesimpulan kuantitatif</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Menghitung dan menginterpretasi FCR (Feed Conversion Ratio) dan SR (Survival Rate) dari data produksi, lalu menarik simpulan efisiensi budi daya</w:t>
            </w:r>
          </w:p>
        </w:tc>
      </w:tr>
    </w:tbl>
    <w:p>
      <w:pPr>
        <w:spacing w:before="200"/>
      </w:pPr>
    </w:p>
    <w:p>
      <w:r>
        <w:br w:type="page"/>
      </w:r>
    </w:p>
    <w:p>
      <w:pPr>
        <w:pStyle w:val="Heading1"/>
        <w:spacing w:after="160" w:before="320"/>
      </w:pPr>
      <w:r>
        <w:rPr>
          <w:b/>
          <w:bCs/>
          <w:color w:val="1F3864"/>
          <w:sz w:val="28"/>
          <w:szCs w:val="28"/>
        </w:rPr>
        <w:t xml:space="preserve">BAB III TUGAS DAN TAGIHAN PESERTA</w:t>
      </w:r>
    </w:p>
    <w:p>
      <w:pPr>
        <w:spacing w:after="160" w:line="300"/>
        <w:jc w:val="both"/>
      </w:pPr>
      <w:r>
        <w:rPr>
          <w:i w:val="false"/>
          <w:iCs w:val="false"/>
          <w:sz w:val="22"/>
          <w:szCs w:val="22"/>
        </w:rPr>
        <w:t xml:space="preserve">Agar kegiatan berjalan efektif dan menghasilkan output yang nyata, setiap peserta MGMP memiliki tugas pada tiga tahap kegiatan sebagai berikut.</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1800"/>
        <w:gridCol w:w="4800"/>
        <w:gridCol w:w="3200"/>
      </w:tblGrid>
      <w:tr>
        <w:tc>
          <w:tcPr>
            <w:tcW w:type="dxa" w:w="1800"/>
            <w:shd w:fill="1F3864" w:val="clear"/>
            <w:tcMar>
              <w:top w:type="dxa" w:w="80"/>
              <w:left w:type="dxa" w:w="100"/>
              <w:bottom w:type="dxa" w:w="80"/>
              <w:right w:type="dxa" w:w="100"/>
            </w:tcMar>
            <w:vAlign w:val="center"/>
          </w:tcPr>
          <w:p>
            <w:pPr>
              <w:jc w:val="center"/>
            </w:pPr>
            <w:r>
              <w:rPr>
                <w:b/>
                <w:bCs/>
                <w:color w:val="FFFFFF"/>
                <w:sz w:val="20"/>
                <w:szCs w:val="20"/>
              </w:rPr>
              <w:t xml:space="preserve">Tahap</w:t>
            </w:r>
          </w:p>
        </w:tc>
        <w:tc>
          <w:tcPr>
            <w:tcW w:type="dxa" w:w="4800"/>
            <w:shd w:fill="1F3864" w:val="clear"/>
            <w:tcMar>
              <w:top w:type="dxa" w:w="80"/>
              <w:left w:type="dxa" w:w="100"/>
              <w:bottom w:type="dxa" w:w="80"/>
              <w:right w:type="dxa" w:w="100"/>
            </w:tcMar>
            <w:vAlign w:val="center"/>
          </w:tcPr>
          <w:p>
            <w:pPr>
              <w:jc w:val="center"/>
            </w:pPr>
            <w:r>
              <w:rPr>
                <w:b/>
                <w:bCs/>
                <w:color w:val="FFFFFF"/>
                <w:sz w:val="20"/>
                <w:szCs w:val="20"/>
              </w:rPr>
              <w:t xml:space="preserve">Tugas Peserta MGMP</w:t>
            </w:r>
          </w:p>
        </w:tc>
        <w:tc>
          <w:tcPr>
            <w:tcW w:type="dxa" w:w="3200"/>
            <w:shd w:fill="1F3864" w:val="clear"/>
            <w:tcMar>
              <w:top w:type="dxa" w:w="80"/>
              <w:left w:type="dxa" w:w="100"/>
              <w:bottom w:type="dxa" w:w="80"/>
              <w:right w:type="dxa" w:w="100"/>
            </w:tcMar>
            <w:vAlign w:val="center"/>
          </w:tcPr>
          <w:p>
            <w:pPr>
              <w:jc w:val="center"/>
            </w:pPr>
            <w:r>
              <w:rPr>
                <w:b/>
                <w:bCs/>
                <w:color w:val="FFFFFF"/>
                <w:sz w:val="20"/>
                <w:szCs w:val="20"/>
              </w:rPr>
              <w:t xml:space="preserve">Tagihan/Output</w:t>
            </w:r>
          </w:p>
        </w:tc>
      </w:tr>
      <w:tr>
        <w:tc>
          <w:tcPr>
            <w:tcW w:type="dxa" w:w="2000"/>
            <w:shd w:fill="EAF2F2" w:val="clear"/>
            <w:tcMar>
              <w:top w:type="dxa" w:w="80"/>
              <w:left w:type="dxa" w:w="100"/>
              <w:bottom w:type="dxa" w:w="80"/>
              <w:right w:type="dxa" w:w="100"/>
            </w:tcMar>
            <w:vAlign w:val="center"/>
          </w:tcPr>
          <w:p>
            <w:pPr>
              <w:jc w:val="left"/>
            </w:pPr>
            <w:r>
              <w:rPr>
                <w:b w:val="false"/>
                <w:bCs w:val="false"/>
                <w:color w:val="000000"/>
                <w:sz w:val="20"/>
                <w:szCs w:val="20"/>
              </w:rPr>
              <w:t xml:space="preserve">Sebelum Kegiatan</w:t>
            </w:r>
          </w:p>
        </w:tc>
        <w:tc>
          <w:tcPr>
            <w:tcW w:type="dxa" w:w="2000"/>
            <w:tcMar>
              <w:top w:type="dxa" w:w="80"/>
              <w:left w:type="dxa" w:w="100"/>
              <w:bottom w:type="dxa" w:w="80"/>
              <w:right w:type="dxa" w:w="100"/>
            </w:tcMar>
            <w:vAlign w:val="center"/>
          </w:tcPr>
          <w:p>
            <w:r>
              <w:rPr>
                <w:sz w:val="20"/>
                <w:szCs w:val="20"/>
              </w:rPr>
              <w:t xml:space="preserve">1. Membawa draf modul ajar dan LKPD (minimal 1 elemen/topik) sesuai kelas/mapel yang diampu.</w:t>
            </w:r>
          </w:p>
          <w:p>
            <w:r>
              <w:rPr>
                <w:sz w:val="20"/>
                <w:szCs w:val="20"/>
              </w:rPr>
              <w:t xml:space="preserve">2. Mempelajari konsep integrasi literasi-numerasi (Bab II) sebagai bekal diskusi.</w:t>
            </w:r>
          </w:p>
          <w:p>
            <w:r>
              <w:rPr>
                <w:sz w:val="20"/>
                <w:szCs w:val="20"/>
              </w:rPr>
              <w:t xml:space="preserve">3. Mengidentifikasi minimal 1 muatan literasi dan 1 muatan numerasi yang relevan dengan topik yang dipilih.</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Draf modul ajar/LKPD (cetak/digital)</w:t>
            </w:r>
          </w:p>
        </w:tc>
      </w:tr>
      <w:tr>
        <w:tc>
          <w:tcPr>
            <w:tcW w:type="dxa" w:w="2000"/>
            <w:shd w:fill="EAF2F2" w:val="clear"/>
            <w:tcMar>
              <w:top w:type="dxa" w:w="80"/>
              <w:left w:type="dxa" w:w="100"/>
              <w:bottom w:type="dxa" w:w="80"/>
              <w:right w:type="dxa" w:w="100"/>
            </w:tcMar>
            <w:vAlign w:val="center"/>
          </w:tcPr>
          <w:p>
            <w:pPr>
              <w:jc w:val="left"/>
            </w:pPr>
            <w:r>
              <w:rPr>
                <w:b w:val="false"/>
                <w:bCs w:val="false"/>
                <w:color w:val="000000"/>
                <w:sz w:val="20"/>
                <w:szCs w:val="20"/>
              </w:rPr>
              <w:t xml:space="preserve">Saat Kegiatan</w:t>
            </w:r>
          </w:p>
        </w:tc>
        <w:tc>
          <w:tcPr>
            <w:tcW w:type="dxa" w:w="2000"/>
            <w:tcMar>
              <w:top w:type="dxa" w:w="80"/>
              <w:left w:type="dxa" w:w="100"/>
              <w:bottom w:type="dxa" w:w="80"/>
              <w:right w:type="dxa" w:w="100"/>
            </w:tcMar>
            <w:vAlign w:val="center"/>
          </w:tcPr>
          <w:p>
            <w:r>
              <w:rPr>
                <w:sz w:val="20"/>
                <w:szCs w:val="20"/>
              </w:rPr>
              <w:t xml:space="preserve">1. Memaparkan secara singkat draf modul ajar/LKPD kepada kelompok reviu.</w:t>
            </w:r>
          </w:p>
          <w:p>
            <w:r>
              <w:rPr>
                <w:sz w:val="20"/>
                <w:szCs w:val="20"/>
              </w:rPr>
              <w:t xml:space="preserve">2. Menelaah draf modul ajar/LKPD guru lain menggunakan instrumen reviu (Bab IV), minimal 2 dokumen per peserta.</w:t>
            </w:r>
          </w:p>
          <w:p>
            <w:r>
              <w:rPr>
                <w:sz w:val="20"/>
                <w:szCs w:val="20"/>
              </w:rPr>
              <w:t xml:space="preserve">3. Berdiskusi dan memberikan masukan perbaikan secara konstruktif dalam kelompok.</w:t>
            </w:r>
          </w:p>
          <w:p>
            <w:r>
              <w:rPr>
                <w:sz w:val="20"/>
                <w:szCs w:val="20"/>
              </w:rPr>
              <w:t xml:space="preserve">4. Merangkum poin masukan yang diterima untuk bahan revisi.</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Lembar hasil reviu (rubrik terisi) untuk setiap dokumen yang ditelaah</w:t>
            </w:r>
          </w:p>
        </w:tc>
      </w:tr>
      <w:tr>
        <w:tc>
          <w:tcPr>
            <w:tcW w:type="dxa" w:w="2000"/>
            <w:shd w:fill="EAF2F2" w:val="clear"/>
            <w:tcMar>
              <w:top w:type="dxa" w:w="80"/>
              <w:left w:type="dxa" w:w="100"/>
              <w:bottom w:type="dxa" w:w="80"/>
              <w:right w:type="dxa" w:w="100"/>
            </w:tcMar>
            <w:vAlign w:val="center"/>
          </w:tcPr>
          <w:p>
            <w:pPr>
              <w:jc w:val="left"/>
            </w:pPr>
            <w:r>
              <w:rPr>
                <w:b w:val="false"/>
                <w:bCs w:val="false"/>
                <w:color w:val="000000"/>
                <w:sz w:val="20"/>
                <w:szCs w:val="20"/>
              </w:rPr>
              <w:t xml:space="preserve">Setelah Kegiatan</w:t>
            </w:r>
          </w:p>
        </w:tc>
        <w:tc>
          <w:tcPr>
            <w:tcW w:type="dxa" w:w="2000"/>
            <w:tcMar>
              <w:top w:type="dxa" w:w="80"/>
              <w:left w:type="dxa" w:w="100"/>
              <w:bottom w:type="dxa" w:w="80"/>
              <w:right w:type="dxa" w:w="100"/>
            </w:tcMar>
            <w:vAlign w:val="center"/>
          </w:tcPr>
          <w:p>
            <w:r>
              <w:rPr>
                <w:sz w:val="20"/>
                <w:szCs w:val="20"/>
              </w:rPr>
              <w:t xml:space="preserve">1. Merevisi modul ajar/LKPD berdasarkan masukan hasil reviu.</w:t>
            </w:r>
          </w:p>
          <w:p>
            <w:r>
              <w:rPr>
                <w:sz w:val="20"/>
                <w:szCs w:val="20"/>
              </w:rPr>
              <w:t xml:space="preserve">2. Mengunggah/menyerahkan modul ajar/LKPD final kepada koordinator/sekretaris MGMP paling lambat sesuai batas waktu yang ditentukan.</w:t>
            </w:r>
          </w:p>
          <w:p>
            <w:r>
              <w:rPr>
                <w:sz w:val="20"/>
                <w:szCs w:val="20"/>
              </w:rPr>
              <w:t xml:space="preserve">3. Menerapkan modul ajar/LKPD di kelas masing-masing dan melaporkan hasil penerapannya pada pertemuan MGMP berikutnya.</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Modul ajar/LKPD final (versi revisi) + catatan penerapan di kelas</w:t>
            </w:r>
          </w:p>
        </w:tc>
      </w:tr>
    </w:tbl>
    <w:p>
      <w:pPr>
        <w:spacing w:before="200"/>
      </w:pPr>
    </w:p>
    <w:p>
      <w:pPr>
        <w:spacing w:after="160" w:line="300"/>
        <w:jc w:val="both"/>
      </w:pPr>
      <w:r>
        <w:rPr>
          <w:i/>
          <w:iCs/>
          <w:sz w:val="22"/>
          <w:szCs w:val="22"/>
        </w:rPr>
        <w:t xml:space="preserve">Setiap peserta disarankan berpasangan atau berkelompok kecil (3-4 orang) lintas satuan pendidikan agar reviu bersifat objektif dan memperkaya perspektif, mengingat karakteristik peserta didik dapat berbeda antarsekolah.</w:t>
      </w:r>
    </w:p>
    <w:p>
      <w:r>
        <w:br w:type="page"/>
      </w:r>
    </w:p>
    <w:p>
      <w:pPr>
        <w:pStyle w:val="Heading1"/>
        <w:spacing w:after="160" w:before="320"/>
      </w:pPr>
      <w:r>
        <w:rPr>
          <w:b/>
          <w:bCs/>
          <w:color w:val="1F3864"/>
          <w:sz w:val="28"/>
          <w:szCs w:val="28"/>
        </w:rPr>
        <w:t xml:space="preserve">BAB IV INSTRUMEN REVIU MODUL AJAR/LKPD</w:t>
      </w:r>
    </w:p>
    <w:p>
      <w:pPr>
        <w:spacing w:after="160" w:line="300"/>
        <w:jc w:val="both"/>
      </w:pPr>
      <w:r>
        <w:rPr>
          <w:i w:val="false"/>
          <w:iCs w:val="false"/>
          <w:sz w:val="22"/>
          <w:szCs w:val="22"/>
        </w:rPr>
        <w:t xml:space="preserve">Instrumen berikut digunakan peserta untuk menelaah modul ajar/LKPD guru lain secara terstruktur. Skor: 1 = belum tampak, 2 = kurang, 3 = cukup, 4 = baik/lengkap.</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500"/>
        <w:gridCol w:w="3600"/>
        <w:gridCol w:w="3200"/>
        <w:gridCol w:w="1200"/>
        <w:gridCol w:w="1300"/>
      </w:tblGrid>
      <w:tr>
        <w:tc>
          <w:tcPr>
            <w:tcW w:type="dxa" w:w="500"/>
            <w:shd w:fill="1F3864" w:val="clear"/>
            <w:tcMar>
              <w:top w:type="dxa" w:w="80"/>
              <w:left w:type="dxa" w:w="100"/>
              <w:bottom w:type="dxa" w:w="80"/>
              <w:right w:type="dxa" w:w="100"/>
            </w:tcMar>
            <w:vAlign w:val="center"/>
          </w:tcPr>
          <w:p>
            <w:pPr>
              <w:jc w:val="center"/>
            </w:pPr>
            <w:r>
              <w:rPr>
                <w:b/>
                <w:bCs/>
                <w:color w:val="FFFFFF"/>
                <w:sz w:val="20"/>
                <w:szCs w:val="20"/>
              </w:rPr>
              <w:t xml:space="preserve">No</w:t>
            </w:r>
          </w:p>
        </w:tc>
        <w:tc>
          <w:tcPr>
            <w:tcW w:type="dxa" w:w="3600"/>
            <w:shd w:fill="1F3864" w:val="clear"/>
            <w:tcMar>
              <w:top w:type="dxa" w:w="80"/>
              <w:left w:type="dxa" w:w="100"/>
              <w:bottom w:type="dxa" w:w="80"/>
              <w:right w:type="dxa" w:w="100"/>
            </w:tcMar>
            <w:vAlign w:val="center"/>
          </w:tcPr>
          <w:p>
            <w:pPr>
              <w:jc w:val="center"/>
            </w:pPr>
            <w:r>
              <w:rPr>
                <w:b/>
                <w:bCs/>
                <w:color w:val="FFFFFF"/>
                <w:sz w:val="20"/>
                <w:szCs w:val="20"/>
              </w:rPr>
              <w:t xml:space="preserve">Komponen yang Ditelaah</w:t>
            </w:r>
          </w:p>
        </w:tc>
        <w:tc>
          <w:tcPr>
            <w:tcW w:type="dxa" w:w="3200"/>
            <w:shd w:fill="1F3864" w:val="clear"/>
            <w:tcMar>
              <w:top w:type="dxa" w:w="80"/>
              <w:left w:type="dxa" w:w="100"/>
              <w:bottom w:type="dxa" w:w="80"/>
              <w:right w:type="dxa" w:w="100"/>
            </w:tcMar>
            <w:vAlign w:val="center"/>
          </w:tcPr>
          <w:p>
            <w:pPr>
              <w:jc w:val="center"/>
            </w:pPr>
            <w:r>
              <w:rPr>
                <w:b/>
                <w:bCs/>
                <w:color w:val="FFFFFF"/>
                <w:sz w:val="20"/>
                <w:szCs w:val="20"/>
              </w:rPr>
              <w:t xml:space="preserve">Indikator Literasi-Numerasi</w:t>
            </w:r>
          </w:p>
        </w:tc>
        <w:tc>
          <w:tcPr>
            <w:tcW w:type="dxa" w:w="1200"/>
            <w:shd w:fill="1F3864" w:val="clear"/>
            <w:tcMar>
              <w:top w:type="dxa" w:w="80"/>
              <w:left w:type="dxa" w:w="100"/>
              <w:bottom w:type="dxa" w:w="80"/>
              <w:right w:type="dxa" w:w="100"/>
            </w:tcMar>
            <w:vAlign w:val="center"/>
          </w:tcPr>
          <w:p>
            <w:pPr>
              <w:jc w:val="center"/>
            </w:pPr>
            <w:r>
              <w:rPr>
                <w:b/>
                <w:bCs/>
                <w:color w:val="FFFFFF"/>
                <w:sz w:val="20"/>
                <w:szCs w:val="20"/>
              </w:rPr>
              <w:t xml:space="preserve">Skor (1-4)</w:t>
            </w:r>
          </w:p>
        </w:tc>
        <w:tc>
          <w:tcPr>
            <w:tcW w:type="dxa" w:w="1300"/>
            <w:shd w:fill="1F3864" w:val="clear"/>
            <w:tcMar>
              <w:top w:type="dxa" w:w="80"/>
              <w:left w:type="dxa" w:w="100"/>
              <w:bottom w:type="dxa" w:w="80"/>
              <w:right w:type="dxa" w:w="100"/>
            </w:tcMar>
            <w:vAlign w:val="center"/>
          </w:tcPr>
          <w:p>
            <w:pPr>
              <w:jc w:val="center"/>
            </w:pPr>
            <w:r>
              <w:rPr>
                <w:b/>
                <w:bCs/>
                <w:color w:val="FFFFFF"/>
                <w:sz w:val="20"/>
                <w:szCs w:val="20"/>
              </w:rPr>
              <w:t xml:space="preserve">Catatan</w:t>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Tujuan Pembelajaran</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Memuat kata kerja operasional literasi dan/atau numerasi yang terukur</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Bahan Bacaan/Sumber Belajar</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Menyertakan teks fungsional/data yang autentik dan relevan dengan topik</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Kegiatan Pembelajaran</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Aktivitas menuntut peserta didik membaca-menafsirkan dan/atau menghitung-menganalisis</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LKPD</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Pertanyaan/latihan berjenjang, memuat soal literasi dan numerasi kontekstual</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Asesmen</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Instrumen penilaian memuat indikator literasi dan numerasi yang selaras dengan tujuan</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Kesesuaian dengan CP/TP</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Muatan literasi-numerasi tidak mengurangi capaian kompetensi teknis inti</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
            </w:r>
          </w:p>
        </w:tc>
      </w:tr>
    </w:tbl>
    <w:p>
      <w:pPr>
        <w:spacing w:before="200"/>
      </w:pPr>
    </w:p>
    <w:p>
      <w:pPr>
        <w:pStyle w:val="Heading2"/>
        <w:spacing w:after="120" w:before="240"/>
      </w:pPr>
      <w:r>
        <w:rPr>
          <w:b/>
          <w:bCs/>
          <w:color w:val="0F6E6E"/>
          <w:sz w:val="24"/>
          <w:szCs w:val="24"/>
        </w:rPr>
        <w:t xml:space="preserve">Rekomendasi Reviewer</w:t>
      </w:r>
    </w:p>
    <w:p>
      <w:pPr>
        <w:pStyle w:val="ListParagraph"/>
        <w:numPr>
          <w:ilvl w:val="0"/>
          <w:numId w:val="2"/>
        </w:numPr>
        <w:spacing w:after="100" w:line="280"/>
      </w:pPr>
      <w:r>
        <w:rPr>
          <w:sz w:val="22"/>
          <w:szCs w:val="22"/>
        </w:rPr>
        <w:t xml:space="preserve">Layak digunakan tanpa revisi</w:t>
      </w:r>
    </w:p>
    <w:p>
      <w:pPr>
        <w:pStyle w:val="ListParagraph"/>
        <w:numPr>
          <w:ilvl w:val="0"/>
          <w:numId w:val="2"/>
        </w:numPr>
        <w:spacing w:after="100" w:line="280"/>
      </w:pPr>
      <w:r>
        <w:rPr>
          <w:sz w:val="22"/>
          <w:szCs w:val="22"/>
        </w:rPr>
        <w:t xml:space="preserve">Layak digunakan dengan revisi minor</w:t>
      </w:r>
    </w:p>
    <w:p>
      <w:pPr>
        <w:pStyle w:val="ListParagraph"/>
        <w:numPr>
          <w:ilvl w:val="0"/>
          <w:numId w:val="2"/>
        </w:numPr>
        <w:spacing w:after="100" w:line="280"/>
      </w:pPr>
      <w:r>
        <w:rPr>
          <w:sz w:val="22"/>
          <w:szCs w:val="22"/>
        </w:rPr>
        <w:t xml:space="preserve">Perlu revisi mayor sebelum digunakan</w:t>
      </w:r>
    </w:p>
    <w:p>
      <w:r>
        <w:br w:type="page"/>
      </w:r>
    </w:p>
    <w:p>
      <w:pPr>
        <w:pStyle w:val="Heading1"/>
        <w:spacing w:after="160" w:before="320"/>
      </w:pPr>
      <w:r>
        <w:rPr>
          <w:b/>
          <w:bCs/>
          <w:color w:val="1F3864"/>
          <w:sz w:val="28"/>
          <w:szCs w:val="28"/>
        </w:rPr>
        <w:t xml:space="preserve">BAB V JADWAL KEGIATAN</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000"/>
        <w:gridCol w:w="5000"/>
        <w:gridCol w:w="2800"/>
      </w:tblGrid>
      <w:tr>
        <w:tc>
          <w:tcPr>
            <w:tcW w:type="dxa" w:w="2000"/>
            <w:shd w:fill="1F3864" w:val="clear"/>
            <w:tcMar>
              <w:top w:type="dxa" w:w="80"/>
              <w:left w:type="dxa" w:w="100"/>
              <w:bottom w:type="dxa" w:w="80"/>
              <w:right w:type="dxa" w:w="100"/>
            </w:tcMar>
            <w:vAlign w:val="center"/>
          </w:tcPr>
          <w:p>
            <w:pPr>
              <w:jc w:val="center"/>
            </w:pPr>
            <w:r>
              <w:rPr>
                <w:b/>
                <w:bCs/>
                <w:color w:val="FFFFFF"/>
                <w:sz w:val="20"/>
                <w:szCs w:val="20"/>
              </w:rPr>
              <w:t xml:space="preserve">Waktu</w:t>
            </w:r>
          </w:p>
        </w:tc>
        <w:tc>
          <w:tcPr>
            <w:tcW w:type="dxa" w:w="5000"/>
            <w:shd w:fill="1F3864" w:val="clear"/>
            <w:tcMar>
              <w:top w:type="dxa" w:w="80"/>
              <w:left w:type="dxa" w:w="100"/>
              <w:bottom w:type="dxa" w:w="80"/>
              <w:right w:type="dxa" w:w="100"/>
            </w:tcMar>
            <w:vAlign w:val="center"/>
          </w:tcPr>
          <w:p>
            <w:pPr>
              <w:jc w:val="center"/>
            </w:pPr>
            <w:r>
              <w:rPr>
                <w:b/>
                <w:bCs/>
                <w:color w:val="FFFFFF"/>
                <w:sz w:val="20"/>
                <w:szCs w:val="20"/>
              </w:rPr>
              <w:t xml:space="preserve">Kegiatan</w:t>
            </w:r>
          </w:p>
        </w:tc>
        <w:tc>
          <w:tcPr>
            <w:tcW w:type="dxa" w:w="2800"/>
            <w:shd w:fill="1F3864" w:val="clear"/>
            <w:tcMar>
              <w:top w:type="dxa" w:w="80"/>
              <w:left w:type="dxa" w:w="100"/>
              <w:bottom w:type="dxa" w:w="80"/>
              <w:right w:type="dxa" w:w="100"/>
            </w:tcMar>
            <w:vAlign w:val="center"/>
          </w:tcPr>
          <w:p>
            <w:pPr>
              <w:jc w:val="center"/>
            </w:pPr>
            <w:r>
              <w:rPr>
                <w:b/>
                <w:bCs/>
                <w:color w:val="FFFFFF"/>
                <w:sz w:val="20"/>
                <w:szCs w:val="20"/>
              </w:rPr>
              <w:t xml:space="preserve">Penanggung Jawab</w:t>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07.30 - 08.00</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Registrasi peserta</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Sekretaris MGMP</w:t>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08.00 - 08.30</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Pembukaan dan penyampaian tujuan kegiatan</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Ketua MGMP</w:t>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08.30 - 09.30</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Pemaparan materi: Konsep Integrasi Literasi-Numerasi dalam Modul Ajar/LKPD</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Narasumber/Ketua MGMP</w:t>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09.30 - 10.30</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Kerja mandiri: penyempurnaan draf modul ajar/LKPD oleh masing-masing peserta</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Seluruh peserta</w:t>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10.30 - 12.00</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Reviu sejawat berkelompok menggunakan instrumen reviu</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Kelompok kerja</w:t>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12.00 - 13.00</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Ishoma</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w:t>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13.00 - 14.00</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Diskusi hasil reviu dan penyusunan rencana revisi</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Kelompok kerja</w:t>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14.00 - 14.30</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Penyampaian rencana tindak lanjut dan batas waktu pengumpulan</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Ketua MGMP</w:t>
            </w:r>
          </w:p>
        </w:tc>
      </w:tr>
      <w:tr>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14.30 - 15.00</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Penutupan</w:t>
            </w:r>
          </w:p>
        </w:tc>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Ketua MGMP</w:t>
            </w:r>
          </w:p>
        </w:tc>
      </w:tr>
    </w:tbl>
    <w:p>
      <w:pPr>
        <w:spacing w:before="200"/>
      </w:pPr>
    </w:p>
    <w:p>
      <w:pPr>
        <w:spacing w:after="160" w:line="300"/>
        <w:jc w:val="both"/>
      </w:pPr>
      <w:r>
        <w:rPr>
          <w:i/>
          <w:iCs/>
          <w:sz w:val="22"/>
          <w:szCs w:val="22"/>
        </w:rPr>
        <w:t xml:space="preserve">Jadwal dapat disesuaikan oleh Ketua MGMP dengan kondisi tempat dan jumlah peserta di lapangan.</w:t>
      </w:r>
    </w:p>
    <w:p>
      <w:pPr>
        <w:pStyle w:val="Heading1"/>
        <w:spacing w:after="160" w:before="320"/>
      </w:pPr>
      <w:r>
        <w:rPr>
          <w:b/>
          <w:bCs/>
          <w:color w:val="1F3864"/>
          <w:sz w:val="28"/>
          <w:szCs w:val="28"/>
        </w:rPr>
        <w:t xml:space="preserve">BAB VI PENUTUP</w:t>
      </w:r>
    </w:p>
    <w:p>
      <w:pPr>
        <w:spacing w:after="160" w:line="300"/>
        <w:jc w:val="both"/>
      </w:pPr>
      <w:r>
        <w:rPr>
          <w:i w:val="false"/>
          <w:iCs w:val="false"/>
          <w:sz w:val="22"/>
          <w:szCs w:val="22"/>
        </w:rPr>
        <w:t xml:space="preserve">Bahan materi ini disusun sebagai acuan pelaksanaan kegiatan MGMP Agribisnis Perikanan Air Tawar dalam rangka penyusunan dan reviu modul ajar/LKPD yang terintegrasi literasi-numerasi. Melalui kegiatan ini diharapkan tersedia modul ajar dan LKPD yang tidak hanya kuat pada aspek keterampilan teknis budi daya ikan, tetapi juga secara sengaja menguatkan kemampuan literasi dan numerasi peserta didik, sehingga turut mendukung kesiapan peserta didik menghadapi asesmen berbasis literasi-numerasi termasuk TKA.</w:t>
      </w:r>
    </w:p>
    <w:p>
      <w:pPr>
        <w:spacing w:after="160" w:line="300"/>
        <w:jc w:val="both"/>
      </w:pPr>
      <w:r>
        <w:rPr>
          <w:i w:val="false"/>
          <w:iCs w:val="false"/>
          <w:sz w:val="22"/>
          <w:szCs w:val="22"/>
        </w:rPr>
        <w:t xml:space="preserve">Keberhasilan kegiatan ini sangat bergantung pada kesungguhan setiap peserta dalam menyiapkan draf, memberikan reviu yang konstruktif, dan menindaklanjuti hasil reviu menjadi perangkat ajar yang benar-benar diterapkan di kelas.</w:t>
      </w:r>
    </w:p>
    <w:sectPr>
      <w:pgSz w:w="11907" w:h="16840" w:orient="portrait"/>
      <w:pgMar w:top="1134" w:right="1134"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2026-09-05T01:58:51.684Z</dcterms:created>
  <dcterms:modified xsi:type="dcterms:W3CDTF">2026-09-05T01:58:51.697Z</dcterms:modified>
</cp:coreProperties>
</file>

<file path=docProps/custom.xml><?xml version="1.0" encoding="utf-8"?>
<Properties xmlns="http://schemas.openxmlformats.org/officeDocument/2006/custom-properties" xmlns:vt="http://schemas.openxmlformats.org/officeDocument/2006/docPropsVTypes"/>
</file>