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F3864"/>
          <w:sz w:val="32"/>
          <w:szCs w:val="32"/>
        </w:rPr>
        <w:t xml:space="preserve">KARTU SOAL</w:t>
      </w:r>
    </w:p>
    <w:p>
      <w:pPr>
        <w:spacing w:after="40"/>
        <w:jc w:val="center"/>
      </w:pPr>
      <w:r>
        <w:rPr>
          <w:b/>
          <w:bCs/>
          <w:color w:val="1F3864"/>
          <w:sz w:val="24"/>
          <w:szCs w:val="24"/>
        </w:rPr>
        <w:t xml:space="preserve">TES KEMAMPUAN AKADEMIK (TKA) MATA PELAJARAN KIMIA — TAHUN 2026</w:t>
      </w:r>
    </w:p>
    <w:p>
      <w:pPr>
        <w:spacing w:after="200"/>
        <w:jc w:val="center"/>
      </w:pPr>
      <w:r>
        <w:rPr>
          <w:i/>
          <w:iCs/>
          <w:color w:val="555555"/>
          <w:sz w:val="20"/>
          <w:szCs w:val="20"/>
        </w:rPr>
        <w:t xml:space="preserve">Disusun berdasarkan hasil analisis capaian TKA 2025 — setara dengan Soal Nomor 1 pada Rapor Mutu</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3500"/>
        <w:gridCol w:w="6395"/>
        <w:gridCol w:w="3500"/>
        <w:gridCol w:w="6395"/>
      </w:tblGrid>
      <w:tr>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Provinsi</w:t>
            </w:r>
          </w:p>
        </w:tc>
        <w:tc>
          <w:tcPr>
            <w:tcW w:type="dxa" w:w="46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Aceh</w:t>
            </w:r>
          </w:p>
        </w:tc>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Mata Pelajaran</w:t>
            </w:r>
          </w:p>
        </w:tc>
        <w:tc>
          <w:tcPr>
            <w:tcW w:type="dxa" w:w="46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Kimia</w:t>
            </w:r>
          </w:p>
        </w:tc>
      </w:tr>
      <w:tr>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Kabupaten/Kota</w:t>
            </w:r>
          </w:p>
        </w:tc>
        <w:tc>
          <w:tcPr>
            <w:tcW w:type="dxa" w:w="46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Kota Sabang</w:t>
            </w:r>
          </w:p>
        </w:tc>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Kelas / Fase</w:t>
            </w:r>
          </w:p>
        </w:tc>
        <w:tc>
          <w:tcPr>
            <w:tcW w:type="dxa" w:w="46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XII / F</w:t>
            </w:r>
          </w:p>
        </w:tc>
      </w:tr>
      <w:tr>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Sekolah</w:t>
            </w:r>
          </w:p>
        </w:tc>
        <w:tc>
          <w:tcPr>
            <w:tcW w:type="dxa" w:w="46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SMA Negeri 2 Sabang</w:t>
            </w:r>
          </w:p>
        </w:tc>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Nomor Soal (acuan)</w:t>
            </w:r>
          </w:p>
        </w:tc>
        <w:tc>
          <w:tcPr>
            <w:tcW w:type="dxa" w:w="46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1</w:t>
            </w:r>
          </w:p>
        </w:tc>
      </w:tr>
      <w:tr>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Penyusun</w:t>
            </w:r>
          </w:p>
        </w:tc>
        <w:tc>
          <w:tcPr>
            <w:tcW w:type="dxa" w:w="46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Amna, S.Pd</w:t>
            </w:r>
          </w:p>
        </w:tc>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Bentuk Soal</w:t>
            </w:r>
          </w:p>
        </w:tc>
        <w:tc>
          <w:tcPr>
            <w:tcW w:type="dxa" w:w="46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Pilihan Ganda (PG)</w:t>
            </w:r>
          </w:p>
        </w:tc>
      </w:tr>
    </w:tbl>
    <w:p>
      <w:pPr>
        <w:shd w:fill="1F3864" w:color="auto" w:val="clear"/>
        <w:spacing w:after="120" w:before="260"/>
        <w:ind w:left="0"/>
      </w:pPr>
      <w:r>
        <w:rPr>
          <w:b/>
          <w:bCs/>
          <w:color w:val="FFFFFF"/>
          <w:sz w:val="22"/>
          <w:szCs w:val="22"/>
        </w:rPr>
        <w:t xml:space="preserve">1. KISI-KISI SOAL (RUJUKAN DATA TKA 2025)</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Elemen</w:t>
            </w:r>
          </w:p>
        </w:tc>
        <w:tc>
          <w:tcPr>
            <w:tcW w:type="dxa" w:w="118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Kimia Dasar</w:t>
            </w:r>
          </w:p>
        </w:tc>
      </w:tr>
      <w:tr>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Subelemen</w:t>
            </w:r>
          </w:p>
        </w:tc>
        <w:tc>
          <w:tcPr>
            <w:tcW w:type="dxa" w:w="118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Stoikiometri</w:t>
            </w:r>
          </w:p>
        </w:tc>
      </w:tr>
      <w:tr>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Kompetensi</w:t>
            </w:r>
          </w:p>
        </w:tc>
        <w:tc>
          <w:tcPr>
            <w:tcW w:type="dxa" w:w="118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Menerapkan perhitungan kimia untuk menyelesaikan masalah.</w:t>
            </w:r>
          </w:p>
        </w:tc>
      </w:tr>
      <w:tr>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Indikator Soal TKA (Acuan)</w:t>
            </w:r>
          </w:p>
        </w:tc>
        <w:tc>
          <w:tcPr>
            <w:tcW w:type="dxa" w:w="118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Menentukan senyawa yang mengandung suatu unsur tertentu dengan kadar tertinggi. (Soal No. 1)</w:t>
            </w:r>
          </w:p>
        </w:tc>
      </w:tr>
      <w:tr>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Capaian Daya Serap TKA 2025</w:t>
            </w:r>
          </w:p>
        </w:tc>
        <w:tc>
          <w:tcPr>
            <w:tcW w:type="dxa" w:w="118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SMAN 2 Sabang: 22,45%  |  Kab. Sabang: 29,03%  |  Provinsi Aceh: 34,89%  |  Nasional: 29,61%  →  capaian sekolah di bawah rata-rata provinsi dan nasional.</w:t>
            </w:r>
          </w:p>
        </w:tc>
      </w:tr>
      <w:tr>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Capaian Pembelajaran (CP) — Kepka BSKAP No. 046/2025</w:t>
            </w:r>
          </w:p>
        </w:tc>
        <w:tc>
          <w:tcPr>
            <w:tcW w:type="dxa" w:w="118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Fase F, Elemen Kimia Dasar: peserta didik mampu menerapkan konsep mol, massa molar, rumus empiris/molekul, dan persen komposisi unsur dalam senyawa untuk menyelesaikan masalah kuantitatif kimia dalam konteks kehidupan sehari-hari.</w:t>
            </w:r>
          </w:p>
        </w:tc>
      </w:tr>
      <w:tr>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Materi</w:t>
            </w:r>
          </w:p>
        </w:tc>
        <w:tc>
          <w:tcPr>
            <w:tcW w:type="dxa" w:w="118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Persen komposisi (kadar) unsur dalam senyawa</w:t>
            </w:r>
          </w:p>
        </w:tc>
      </w:tr>
      <w:tr>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Indikator Soal (Turunan)</w:t>
            </w:r>
          </w:p>
        </w:tc>
        <w:tc>
          <w:tcPr>
            <w:tcW w:type="dxa" w:w="118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Disajikan data rumus kimia dan massa molar beberapa pupuk nitrogen, peserta didik dapat menentukan pupuk dengan kadar unsur nitrogen (N) tertinggi melalui perhitungan persen massa.</w:t>
            </w:r>
          </w:p>
        </w:tc>
      </w:tr>
      <w:tr>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Level Kognitif</w:t>
            </w:r>
          </w:p>
        </w:tc>
        <w:tc>
          <w:tcPr>
            <w:tcW w:type="dxa" w:w="118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L3 — Penalaran (Menganalisis &amp; Mengevaluasi, setara C4–C5), HOTS</w:t>
            </w:r>
          </w:p>
        </w:tc>
      </w:tr>
    </w:tbl>
    <w:p>
      <w:pPr>
        <w:shd w:fill="1F3864" w:color="auto" w:val="clear"/>
        <w:spacing w:after="120" w:before="260"/>
        <w:ind w:left="0"/>
      </w:pPr>
      <w:r>
        <w:rPr>
          <w:b/>
          <w:bCs/>
          <w:color w:val="FFFFFF"/>
          <w:sz w:val="22"/>
          <w:szCs w:val="22"/>
        </w:rPr>
        <w:t xml:space="preserve">2. RUMUSAN BUTIR SOAL</w:t>
      </w:r>
    </w:p>
    <w:p>
      <w:pPr>
        <w:spacing w:after="100"/>
      </w:pPr>
      <w:r>
        <w:rPr>
          <w:b/>
          <w:bCs/>
          <w:sz w:val="20"/>
          <w:szCs w:val="20"/>
        </w:rPr>
        <w:t xml:space="preserve">Perhatikan stimulus berikut untuk menjawab pertanyaan!</w:t>
      </w:r>
    </w:p>
    <w:p>
      <w:pPr>
        <w:spacing w:after="100"/>
      </w:pPr>
      <w:r>
        <w:rPr>
          <w:sz w:val="20"/>
          <w:szCs w:val="20"/>
        </w:rPr>
        <w:t xml:space="preserve">Seorang petani di Kota Sabang ingin memupuk lahan cabainya dengan pupuk yang mengandung unsur nitrogen (N) untuk merangsang pertumbuhan daun. Di toko pertanian tersedia empat jenis pupuk nitrogen dengan rumus kimia sebagai berikut. Diketahui massa atom relatif (Ar): H = 1; C = 12; N = 14; O = 16; K = 39.</w:t>
      </w:r>
    </w:p>
    <w:tbl>
      <w:tblPr>
        <w:tblW w:type="dxa" w:w="90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900"/>
            <w:gridSpan w:val="1"/>
            <w:tcBorders>
              <w:top w:val="single" w:color="999999" w:sz="4"/>
              <w:left w:val="single" w:color="999999" w:sz="4"/>
              <w:bottom w:val="single" w:color="999999" w:sz="4"/>
              <w:right w:val="single" w:color="999999" w:sz="4"/>
            </w:tcBorders>
            <w:shd w:fill="DCE6F1" w:color="auto" w:val="clear"/>
            <w:tcMar>
              <w:top w:type="dxa" w:w="80"/>
              <w:left w:type="dxa" w:w="100"/>
              <w:bottom w:type="dxa" w:w="80"/>
              <w:right w:type="dxa" w:w="100"/>
            </w:tcMar>
            <w:vAlign w:val="center"/>
          </w:tcPr>
          <w:p>
            <w:pPr>
              <w:jc w:val="center"/>
            </w:pPr>
            <w:r>
              <w:rPr>
                <w:b/>
                <w:bCs/>
                <w:i w:val="false"/>
                <w:iCs w:val="false"/>
                <w:color w:val="000000"/>
                <w:sz w:val="20"/>
                <w:szCs w:val="20"/>
              </w:rPr>
              <w:t xml:space="preserve">No.</w:t>
            </w:r>
          </w:p>
        </w:tc>
        <w:tc>
          <w:tcPr>
            <w:tcW w:type="dxa" w:w="3200"/>
            <w:gridSpan w:val="1"/>
            <w:tcBorders>
              <w:top w:val="single" w:color="999999" w:sz="4"/>
              <w:left w:val="single" w:color="999999" w:sz="4"/>
              <w:bottom w:val="single" w:color="999999" w:sz="4"/>
              <w:right w:val="single" w:color="999999" w:sz="4"/>
            </w:tcBorders>
            <w:shd w:fill="DCE6F1" w:color="auto" w:val="clear"/>
            <w:tcMar>
              <w:top w:type="dxa" w:w="80"/>
              <w:left w:type="dxa" w:w="100"/>
              <w:bottom w:type="dxa" w:w="80"/>
              <w:right w:type="dxa" w:w="100"/>
            </w:tcMar>
            <w:vAlign w:val="center"/>
          </w:tcPr>
          <w:p>
            <w:pPr>
              <w:jc w:val="center"/>
            </w:pPr>
            <w:r>
              <w:rPr>
                <w:b/>
                <w:bCs/>
                <w:i w:val="false"/>
                <w:iCs w:val="false"/>
                <w:color w:val="000000"/>
                <w:sz w:val="20"/>
                <w:szCs w:val="20"/>
              </w:rPr>
              <w:t xml:space="preserve">Nama Pupuk</w:t>
            </w:r>
          </w:p>
        </w:tc>
        <w:tc>
          <w:tcPr>
            <w:tcW w:type="dxa" w:w="2400"/>
            <w:gridSpan w:val="1"/>
            <w:tcBorders>
              <w:top w:val="single" w:color="999999" w:sz="4"/>
              <w:left w:val="single" w:color="999999" w:sz="4"/>
              <w:bottom w:val="single" w:color="999999" w:sz="4"/>
              <w:right w:val="single" w:color="999999" w:sz="4"/>
            </w:tcBorders>
            <w:shd w:fill="DCE6F1" w:color="auto" w:val="clear"/>
            <w:tcMar>
              <w:top w:type="dxa" w:w="80"/>
              <w:left w:type="dxa" w:w="100"/>
              <w:bottom w:type="dxa" w:w="80"/>
              <w:right w:type="dxa" w:w="100"/>
            </w:tcMar>
            <w:vAlign w:val="center"/>
          </w:tcPr>
          <w:p>
            <w:pPr>
              <w:jc w:val="center"/>
            </w:pPr>
            <w:r>
              <w:rPr>
                <w:b/>
                <w:bCs/>
                <w:i w:val="false"/>
                <w:iCs w:val="false"/>
                <w:color w:val="000000"/>
                <w:sz w:val="20"/>
                <w:szCs w:val="20"/>
              </w:rPr>
              <w:t xml:space="preserve">Rumus Kimia</w:t>
            </w:r>
          </w:p>
        </w:tc>
        <w:tc>
          <w:tcPr>
            <w:tcW w:type="dxa" w:w="2500"/>
            <w:gridSpan w:val="1"/>
            <w:tcBorders>
              <w:top w:val="single" w:color="999999" w:sz="4"/>
              <w:left w:val="single" w:color="999999" w:sz="4"/>
              <w:bottom w:val="single" w:color="999999" w:sz="4"/>
              <w:right w:val="single" w:color="999999" w:sz="4"/>
            </w:tcBorders>
            <w:shd w:fill="DCE6F1" w:color="auto" w:val="clear"/>
            <w:tcMar>
              <w:top w:type="dxa" w:w="80"/>
              <w:left w:type="dxa" w:w="100"/>
              <w:bottom w:type="dxa" w:w="80"/>
              <w:right w:type="dxa" w:w="100"/>
            </w:tcMar>
            <w:vAlign w:val="center"/>
          </w:tcPr>
          <w:p>
            <w:pPr>
              <w:jc w:val="center"/>
            </w:pPr>
            <w:r>
              <w:rPr>
                <w:b/>
                <w:bCs/>
                <w:i w:val="false"/>
                <w:iCs w:val="false"/>
                <w:color w:val="000000"/>
                <w:sz w:val="20"/>
                <w:szCs w:val="20"/>
              </w:rPr>
              <w:t xml:space="preserve">Massa Molar (g/mol)</w:t>
            </w:r>
          </w:p>
        </w:tc>
      </w:tr>
      <w:tr>
        <w:tc>
          <w:tcPr>
            <w:tcW w:type="dxa" w:w="9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1</w:t>
            </w:r>
          </w:p>
        </w:tc>
        <w:tc>
          <w:tcPr>
            <w:tcW w:type="dxa" w:w="3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Urea</w:t>
            </w:r>
          </w:p>
        </w:tc>
        <w:tc>
          <w:tcPr>
            <w:tcW w:type="dxa" w:w="24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CO(NH₂)₂</w:t>
            </w:r>
          </w:p>
        </w:tc>
        <w:tc>
          <w:tcPr>
            <w:tcW w:type="dxa" w:w="25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60</w:t>
            </w:r>
          </w:p>
        </w:tc>
      </w:tr>
      <w:tr>
        <w:tc>
          <w:tcPr>
            <w:tcW w:type="dxa" w:w="9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2</w:t>
            </w:r>
          </w:p>
        </w:tc>
        <w:tc>
          <w:tcPr>
            <w:tcW w:type="dxa" w:w="3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ZA (Amonium Sulfat)</w:t>
            </w:r>
          </w:p>
        </w:tc>
        <w:tc>
          <w:tcPr>
            <w:tcW w:type="dxa" w:w="24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(NH₄)₂SO₄</w:t>
            </w:r>
          </w:p>
        </w:tc>
        <w:tc>
          <w:tcPr>
            <w:tcW w:type="dxa" w:w="25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132</w:t>
            </w:r>
          </w:p>
        </w:tc>
      </w:tr>
      <w:tr>
        <w:tc>
          <w:tcPr>
            <w:tcW w:type="dxa" w:w="9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3</w:t>
            </w:r>
          </w:p>
        </w:tc>
        <w:tc>
          <w:tcPr>
            <w:tcW w:type="dxa" w:w="3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Amonium Nitrat</w:t>
            </w:r>
          </w:p>
        </w:tc>
        <w:tc>
          <w:tcPr>
            <w:tcW w:type="dxa" w:w="24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NH₄NO₃</w:t>
            </w:r>
          </w:p>
        </w:tc>
        <w:tc>
          <w:tcPr>
            <w:tcW w:type="dxa" w:w="25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80</w:t>
            </w:r>
          </w:p>
        </w:tc>
      </w:tr>
      <w:tr>
        <w:tc>
          <w:tcPr>
            <w:tcW w:type="dxa" w:w="9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4</w:t>
            </w:r>
          </w:p>
        </w:tc>
        <w:tc>
          <w:tcPr>
            <w:tcW w:type="dxa" w:w="3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Kalium Nitrat</w:t>
            </w:r>
          </w:p>
        </w:tc>
        <w:tc>
          <w:tcPr>
            <w:tcW w:type="dxa" w:w="24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KNO₃</w:t>
            </w:r>
          </w:p>
        </w:tc>
        <w:tc>
          <w:tcPr>
            <w:tcW w:type="dxa" w:w="25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101</w:t>
            </w:r>
          </w:p>
        </w:tc>
      </w:tr>
    </w:tbl>
    <w:p>
      <w:pPr>
        <w:spacing w:after="100" w:before="160"/>
      </w:pPr>
      <w:r>
        <w:rPr>
          <w:b/>
          <w:bCs/>
          <w:sz w:val="20"/>
          <w:szCs w:val="20"/>
        </w:rPr>
        <w:t xml:space="preserve">Pertanyaan:</w:t>
      </w:r>
    </w:p>
    <w:p>
      <w:pPr>
        <w:spacing w:after="100"/>
      </w:pPr>
      <w:r>
        <w:rPr>
          <w:sz w:val="20"/>
          <w:szCs w:val="20"/>
        </w:rPr>
        <w:t xml:space="preserve">Agar penggunaan pupuk lebih efisien dengan takaran (massa) yang sama, pupuk manakah yang memberikan kadar unsur nitrogen (N) tertinggi bagi tanaman?</w:t>
      </w:r>
    </w:p>
    <w:tbl>
      <w:tblPr>
        <w:tblW w:type="dxa" w:w="9000"/>
        <w:tblBorders>
          <w:top w:val="none"/>
          <w:left w:val="none"/>
          <w:bottom w:val="none"/>
          <w:right w:val="none"/>
          <w:insideH w:val="none"/>
          <w:insideV w:val="none"/>
        </w:tblBorders>
      </w:tblPr>
      <w:tblGrid>
        <w:gridCol w:w="100"/>
        <w:gridCol w:w="100"/>
      </w:tblGrid>
      <w:tr>
        <w:tc>
          <w:tcPr>
            <w:tcW w:type="dxa" w:w="4500"/>
            <w:tcBorders>
              <w:top w:val="single" w:color="FFFFFF" w:sz="4"/>
              <w:left w:val="single" w:color="FFFFFF" w:sz="4"/>
              <w:bottom w:val="single" w:color="FFFFFF" w:sz="4"/>
              <w:right w:val="single" w:color="FFFFFF" w:sz="4"/>
            </w:tcBorders>
          </w:tcPr>
          <w:p>
            <w:r>
              <w:rPr>
                <w:sz w:val="20"/>
                <w:szCs w:val="20"/>
              </w:rPr>
              <w:t xml:space="preserve">A.  Urea</w:t>
            </w:r>
          </w:p>
        </w:tc>
        <w:tc>
          <w:tcPr>
            <w:tcW w:type="dxa" w:w="4500"/>
            <w:tcBorders>
              <w:top w:val="single" w:color="FFFFFF" w:sz="4"/>
              <w:left w:val="single" w:color="FFFFFF" w:sz="4"/>
              <w:bottom w:val="single" w:color="FFFFFF" w:sz="4"/>
              <w:right w:val="single" w:color="FFFFFF" w:sz="4"/>
            </w:tcBorders>
          </w:tcPr>
          <w:p>
            <w:r>
              <w:rPr>
                <w:sz w:val="20"/>
                <w:szCs w:val="20"/>
              </w:rPr>
              <w:t xml:space="preserve">B.  ZA (Amonium Sulfat)</w:t>
            </w:r>
          </w:p>
        </w:tc>
      </w:tr>
      <w:tr>
        <w:tc>
          <w:tcPr>
            <w:tcW w:type="dxa" w:w="4500"/>
            <w:tcBorders>
              <w:top w:val="single" w:color="FFFFFF" w:sz="4"/>
              <w:left w:val="single" w:color="FFFFFF" w:sz="4"/>
              <w:bottom w:val="single" w:color="FFFFFF" w:sz="4"/>
              <w:right w:val="single" w:color="FFFFFF" w:sz="4"/>
            </w:tcBorders>
          </w:tcPr>
          <w:p>
            <w:r>
              <w:rPr>
                <w:sz w:val="20"/>
                <w:szCs w:val="20"/>
              </w:rPr>
              <w:t xml:space="preserve">C.  Amonium Nitrat</w:t>
            </w:r>
          </w:p>
        </w:tc>
        <w:tc>
          <w:tcPr>
            <w:tcW w:type="dxa" w:w="4500"/>
            <w:tcBorders>
              <w:top w:val="single" w:color="FFFFFF" w:sz="4"/>
              <w:left w:val="single" w:color="FFFFFF" w:sz="4"/>
              <w:bottom w:val="single" w:color="FFFFFF" w:sz="4"/>
              <w:right w:val="single" w:color="FFFFFF" w:sz="4"/>
            </w:tcBorders>
          </w:tcPr>
          <w:p>
            <w:r>
              <w:rPr>
                <w:sz w:val="20"/>
                <w:szCs w:val="20"/>
              </w:rPr>
              <w:t xml:space="preserve">D.  Kalium Nitrat</w:t>
            </w:r>
          </w:p>
        </w:tc>
      </w:tr>
      <w:tr>
        <w:tc>
          <w:tcPr>
            <w:tcW w:type="dxa" w:w="9000"/>
            <w:gridSpan w:val="2"/>
            <w:tcBorders>
              <w:top w:val="single" w:color="FFFFFF" w:sz="4"/>
              <w:left w:val="single" w:color="FFFFFF" w:sz="4"/>
              <w:bottom w:val="single" w:color="FFFFFF" w:sz="4"/>
              <w:right w:val="single" w:color="FFFFFF" w:sz="4"/>
            </w:tcBorders>
          </w:tcPr>
          <w:p>
            <w:r>
              <w:rPr>
                <w:sz w:val="20"/>
                <w:szCs w:val="20"/>
              </w:rPr>
              <w:t xml:space="preserve">E.  Kadar nitrogen pada keempat pupuk tersebut sama karena semuanya mengandung unsur N</w:t>
            </w:r>
          </w:p>
        </w:tc>
      </w:tr>
    </w:tbl>
    <w:p>
      <w:pPr>
        <w:shd w:fill="1F3864" w:color="auto" w:val="clear"/>
        <w:spacing w:after="120" w:before="260"/>
        <w:ind w:left="0"/>
      </w:pPr>
      <w:r>
        <w:rPr>
          <w:b/>
          <w:bCs/>
          <w:color w:val="FFFFFF"/>
          <w:sz w:val="22"/>
          <w:szCs w:val="22"/>
        </w:rPr>
        <w:t xml:space="preserve">3. KUNCI JAWABAN DAN PEDOMAN PENSKORAN</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Kunci Jawaban</w:t>
            </w:r>
          </w:p>
        </w:tc>
        <w:tc>
          <w:tcPr>
            <w:tcW w:type="dxa" w:w="11800"/>
            <w:gridSpan w:val="1"/>
            <w:tcBorders>
              <w:top w:val="single" w:color="999999" w:sz="4"/>
              <w:left w:val="single" w:color="999999" w:sz="4"/>
              <w:bottom w:val="single" w:color="999999" w:sz="4"/>
              <w:right w:val="single" w:color="999999" w:sz="4"/>
            </w:tcBorders>
            <w:shd w:fill="E2EFDA"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A (Urea)</w:t>
            </w:r>
          </w:p>
        </w:tc>
      </w:tr>
      <w:tr>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Pedoman Penskoran</w:t>
            </w:r>
          </w:p>
        </w:tc>
        <w:tc>
          <w:tcPr>
            <w:tcW w:type="dxa" w:w="118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Skor 1 jika jawaban benar (A); Skor 0 jika jawaban salah atau tidak dijawab.</w:t>
            </w:r>
          </w:p>
        </w:tc>
      </w:tr>
    </w:tbl>
    <w:p>
      <w:pPr>
        <w:shd w:fill="1F3864" w:color="auto" w:val="clear"/>
        <w:spacing w:after="120" w:before="260"/>
        <w:ind w:left="0"/>
      </w:pPr>
      <w:r>
        <w:rPr>
          <w:b/>
          <w:bCs/>
          <w:color w:val="FFFFFF"/>
          <w:sz w:val="22"/>
          <w:szCs w:val="22"/>
        </w:rPr>
        <w:t xml:space="preserve">4. PEMBAHASAN / ANALISIS PENYELESAIAN SOAL</w:t>
      </w:r>
    </w:p>
    <w:p>
      <w:pPr>
        <w:spacing w:after="100"/>
      </w:pPr>
      <w:r>
        <w:rPr>
          <w:sz w:val="20"/>
          <w:szCs w:val="20"/>
        </w:rPr>
        <w:t xml:space="preserve">Kadar (persen massa) unsur N dalam setiap senyawa dihitung dengan rumus:</w:t>
      </w:r>
    </w:p>
    <w:p>
      <w:pPr>
        <w:spacing w:after="120"/>
        <w:jc w:val="center"/>
      </w:pPr>
      <w:r>
        <w:rPr>
          <w:b/>
          <w:bCs/>
          <w:i/>
          <w:iCs/>
          <w:sz w:val="20"/>
          <w:szCs w:val="20"/>
        </w:rPr>
        <w:t xml:space="preserve">% N = (jumlah atom N × Ar N) / Massa Molar senyawa × 100%</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2400"/>
            <w:gridSpan w:val="1"/>
            <w:tcBorders>
              <w:top w:val="single" w:color="999999" w:sz="4"/>
              <w:left w:val="single" w:color="999999" w:sz="4"/>
              <w:bottom w:val="single" w:color="999999" w:sz="4"/>
              <w:right w:val="single" w:color="999999" w:sz="4"/>
            </w:tcBorders>
            <w:shd w:fill="DCE6F1" w:color="auto" w:val="clear"/>
            <w:tcMar>
              <w:top w:type="dxa" w:w="80"/>
              <w:left w:type="dxa" w:w="100"/>
              <w:bottom w:type="dxa" w:w="80"/>
              <w:right w:type="dxa" w:w="100"/>
            </w:tcMar>
            <w:vAlign w:val="center"/>
          </w:tcPr>
          <w:p>
            <w:pPr>
              <w:jc w:val="center"/>
            </w:pPr>
            <w:r>
              <w:rPr>
                <w:b/>
                <w:bCs/>
                <w:i w:val="false"/>
                <w:iCs w:val="false"/>
                <w:color w:val="000000"/>
                <w:sz w:val="20"/>
                <w:szCs w:val="20"/>
              </w:rPr>
              <w:t xml:space="preserve">Pupuk</w:t>
            </w:r>
          </w:p>
        </w:tc>
        <w:tc>
          <w:tcPr>
            <w:tcW w:type="dxa" w:w="2200"/>
            <w:gridSpan w:val="1"/>
            <w:tcBorders>
              <w:top w:val="single" w:color="999999" w:sz="4"/>
              <w:left w:val="single" w:color="999999" w:sz="4"/>
              <w:bottom w:val="single" w:color="999999" w:sz="4"/>
              <w:right w:val="single" w:color="999999" w:sz="4"/>
            </w:tcBorders>
            <w:shd w:fill="DCE6F1" w:color="auto" w:val="clear"/>
            <w:tcMar>
              <w:top w:type="dxa" w:w="80"/>
              <w:left w:type="dxa" w:w="100"/>
              <w:bottom w:type="dxa" w:w="80"/>
              <w:right w:type="dxa" w:w="100"/>
            </w:tcMar>
            <w:vAlign w:val="center"/>
          </w:tcPr>
          <w:p>
            <w:pPr>
              <w:jc w:val="center"/>
            </w:pPr>
            <w:r>
              <w:rPr>
                <w:b/>
                <w:bCs/>
                <w:i w:val="false"/>
                <w:iCs w:val="false"/>
                <w:color w:val="000000"/>
                <w:sz w:val="20"/>
                <w:szCs w:val="20"/>
              </w:rPr>
              <w:t xml:space="preserve">Massa N (g/mol)</w:t>
            </w:r>
          </w:p>
        </w:tc>
        <w:tc>
          <w:tcPr>
            <w:tcW w:type="dxa" w:w="2200"/>
            <w:gridSpan w:val="1"/>
            <w:tcBorders>
              <w:top w:val="single" w:color="999999" w:sz="4"/>
              <w:left w:val="single" w:color="999999" w:sz="4"/>
              <w:bottom w:val="single" w:color="999999" w:sz="4"/>
              <w:right w:val="single" w:color="999999" w:sz="4"/>
            </w:tcBorders>
            <w:shd w:fill="DCE6F1" w:color="auto" w:val="clear"/>
            <w:tcMar>
              <w:top w:type="dxa" w:w="80"/>
              <w:left w:type="dxa" w:w="100"/>
              <w:bottom w:type="dxa" w:w="80"/>
              <w:right w:type="dxa" w:w="100"/>
            </w:tcMar>
            <w:vAlign w:val="center"/>
          </w:tcPr>
          <w:p>
            <w:pPr>
              <w:jc w:val="center"/>
            </w:pPr>
            <w:r>
              <w:rPr>
                <w:b/>
                <w:bCs/>
                <w:i w:val="false"/>
                <w:iCs w:val="false"/>
                <w:color w:val="000000"/>
                <w:sz w:val="20"/>
                <w:szCs w:val="20"/>
              </w:rPr>
              <w:t xml:space="preserve">Massa Molar (g/mol)</w:t>
            </w:r>
          </w:p>
        </w:tc>
        <w:tc>
          <w:tcPr>
            <w:tcW w:type="dxa" w:w="2200"/>
            <w:gridSpan w:val="1"/>
            <w:tcBorders>
              <w:top w:val="single" w:color="999999" w:sz="4"/>
              <w:left w:val="single" w:color="999999" w:sz="4"/>
              <w:bottom w:val="single" w:color="999999" w:sz="4"/>
              <w:right w:val="single" w:color="999999" w:sz="4"/>
            </w:tcBorders>
            <w:shd w:fill="DCE6F1" w:color="auto" w:val="clear"/>
            <w:tcMar>
              <w:top w:type="dxa" w:w="80"/>
              <w:left w:type="dxa" w:w="100"/>
              <w:bottom w:type="dxa" w:w="80"/>
              <w:right w:type="dxa" w:w="100"/>
            </w:tcMar>
            <w:vAlign w:val="center"/>
          </w:tcPr>
          <w:p>
            <w:pPr>
              <w:jc w:val="center"/>
            </w:pPr>
            <w:r>
              <w:rPr>
                <w:b/>
                <w:bCs/>
                <w:i w:val="false"/>
                <w:iCs w:val="false"/>
                <w:color w:val="000000"/>
                <w:sz w:val="20"/>
                <w:szCs w:val="20"/>
              </w:rPr>
              <w:t xml:space="preserve">% N</w:t>
            </w:r>
          </w:p>
        </w:tc>
      </w:tr>
      <w:tr>
        <w:tc>
          <w:tcPr>
            <w:tcW w:type="dxa" w:w="24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Urea, CO(NH₂)₂</w:t>
            </w:r>
          </w:p>
        </w:tc>
        <w:tc>
          <w:tcPr>
            <w:tcW w:type="dxa" w:w="2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2 × 14 = 28</w:t>
            </w:r>
          </w:p>
        </w:tc>
        <w:tc>
          <w:tcPr>
            <w:tcW w:type="dxa" w:w="2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60</w:t>
            </w:r>
          </w:p>
        </w:tc>
        <w:tc>
          <w:tcPr>
            <w:tcW w:type="dxa" w:w="2200"/>
            <w:gridSpan w:val="1"/>
            <w:tcBorders>
              <w:top w:val="single" w:color="999999" w:sz="4"/>
              <w:left w:val="single" w:color="999999" w:sz="4"/>
              <w:bottom w:val="single" w:color="999999" w:sz="4"/>
              <w:right w:val="single" w:color="999999" w:sz="4"/>
            </w:tcBorders>
            <w:shd w:fill="E2EFDA" w:color="auto" w:val="clear"/>
            <w:tcMar>
              <w:top w:type="dxa" w:w="80"/>
              <w:left w:type="dxa" w:w="100"/>
              <w:bottom w:type="dxa" w:w="80"/>
              <w:right w:type="dxa" w:w="100"/>
            </w:tcMar>
            <w:vAlign w:val="center"/>
          </w:tcPr>
          <w:p>
            <w:pPr>
              <w:jc w:val="center"/>
            </w:pPr>
            <w:r>
              <w:rPr>
                <w:b/>
                <w:bCs/>
                <w:i w:val="false"/>
                <w:iCs w:val="false"/>
                <w:color w:val="000000"/>
                <w:sz w:val="20"/>
                <w:szCs w:val="20"/>
              </w:rPr>
              <w:t xml:space="preserve">46,67%</w:t>
            </w:r>
          </w:p>
        </w:tc>
      </w:tr>
      <w:tr>
        <w:tc>
          <w:tcPr>
            <w:tcW w:type="dxa" w:w="24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ZA, (NH₄)₂SO₄</w:t>
            </w:r>
          </w:p>
        </w:tc>
        <w:tc>
          <w:tcPr>
            <w:tcW w:type="dxa" w:w="2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2 × 14 = 28</w:t>
            </w:r>
          </w:p>
        </w:tc>
        <w:tc>
          <w:tcPr>
            <w:tcW w:type="dxa" w:w="2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132</w:t>
            </w:r>
          </w:p>
        </w:tc>
        <w:tc>
          <w:tcPr>
            <w:tcW w:type="dxa" w:w="2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21,21%</w:t>
            </w:r>
          </w:p>
        </w:tc>
      </w:tr>
      <w:tr>
        <w:tc>
          <w:tcPr>
            <w:tcW w:type="dxa" w:w="24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Amonium Nitrat, NH₄NO₃</w:t>
            </w:r>
          </w:p>
        </w:tc>
        <w:tc>
          <w:tcPr>
            <w:tcW w:type="dxa" w:w="2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2 × 14 = 28</w:t>
            </w:r>
          </w:p>
        </w:tc>
        <w:tc>
          <w:tcPr>
            <w:tcW w:type="dxa" w:w="2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80</w:t>
            </w:r>
          </w:p>
        </w:tc>
        <w:tc>
          <w:tcPr>
            <w:tcW w:type="dxa" w:w="2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35,00%</w:t>
            </w:r>
          </w:p>
        </w:tc>
      </w:tr>
      <w:tr>
        <w:tc>
          <w:tcPr>
            <w:tcW w:type="dxa" w:w="24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Kalium Nitrat, KNO₃</w:t>
            </w:r>
          </w:p>
        </w:tc>
        <w:tc>
          <w:tcPr>
            <w:tcW w:type="dxa" w:w="2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1 × 14 = 14</w:t>
            </w:r>
          </w:p>
        </w:tc>
        <w:tc>
          <w:tcPr>
            <w:tcW w:type="dxa" w:w="2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101</w:t>
            </w:r>
          </w:p>
        </w:tc>
        <w:tc>
          <w:tcPr>
            <w:tcW w:type="dxa" w:w="2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13,86%</w:t>
            </w:r>
          </w:p>
        </w:tc>
      </w:tr>
    </w:tbl>
    <w:p>
      <w:pPr>
        <w:spacing w:after="100" w:before="140"/>
      </w:pPr>
      <w:r>
        <w:rPr>
          <w:sz w:val="20"/>
          <w:szCs w:val="20"/>
        </w:rPr>
        <w:t xml:space="preserve">Kesimpulan: Dari perbandingan keempat nilai % N, Urea memiliki kadar nitrogen tertinggi (46,67%), sehingga jawaban yang benar adalah A.</w:t>
      </w:r>
    </w:p>
    <w:p>
      <w:pPr>
        <w:shd w:fill="1F3864" w:color="auto" w:val="clear"/>
        <w:spacing w:after="120" w:before="260"/>
        <w:ind w:left="0"/>
      </w:pPr>
      <w:r>
        <w:rPr>
          <w:b/>
          <w:bCs/>
          <w:color w:val="FFFFFF"/>
          <w:sz w:val="22"/>
          <w:szCs w:val="22"/>
        </w:rPr>
        <w:t xml:space="preserve">5. ANALISIS DISTRAKTOR (PENGECOH)</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500"/>
            <w:gridSpan w:val="1"/>
            <w:tcBorders>
              <w:top w:val="single" w:color="999999" w:sz="4"/>
              <w:left w:val="single" w:color="999999" w:sz="4"/>
              <w:bottom w:val="single" w:color="999999" w:sz="4"/>
              <w:right w:val="single" w:color="999999" w:sz="4"/>
            </w:tcBorders>
            <w:shd w:fill="DCE6F1" w:color="auto" w:val="clear"/>
            <w:tcMar>
              <w:top w:type="dxa" w:w="80"/>
              <w:left w:type="dxa" w:w="100"/>
              <w:bottom w:type="dxa" w:w="80"/>
              <w:right w:type="dxa" w:w="100"/>
            </w:tcMar>
            <w:vAlign w:val="center"/>
          </w:tcPr>
          <w:p>
            <w:pPr>
              <w:jc w:val="center"/>
            </w:pPr>
            <w:r>
              <w:rPr>
                <w:b/>
                <w:bCs/>
                <w:i w:val="false"/>
                <w:iCs w:val="false"/>
                <w:color w:val="000000"/>
                <w:sz w:val="20"/>
                <w:szCs w:val="20"/>
              </w:rPr>
              <w:t xml:space="preserve">Opsi</w:t>
            </w:r>
          </w:p>
        </w:tc>
        <w:tc>
          <w:tcPr>
            <w:tcW w:type="dxa" w:w="12900"/>
            <w:gridSpan w:val="1"/>
            <w:tcBorders>
              <w:top w:val="single" w:color="999999" w:sz="4"/>
              <w:left w:val="single" w:color="999999" w:sz="4"/>
              <w:bottom w:val="single" w:color="999999" w:sz="4"/>
              <w:right w:val="single" w:color="999999" w:sz="4"/>
            </w:tcBorders>
            <w:shd w:fill="DCE6F1" w:color="auto" w:val="clear"/>
            <w:tcMar>
              <w:top w:type="dxa" w:w="80"/>
              <w:left w:type="dxa" w:w="100"/>
              <w:bottom w:type="dxa" w:w="80"/>
              <w:right w:type="dxa" w:w="100"/>
            </w:tcMar>
            <w:vAlign w:val="center"/>
          </w:tcPr>
          <w:p>
            <w:pPr>
              <w:jc w:val="center"/>
            </w:pPr>
            <w:r>
              <w:rPr>
                <w:b/>
                <w:bCs/>
                <w:i w:val="false"/>
                <w:iCs w:val="false"/>
                <w:color w:val="000000"/>
                <w:sz w:val="20"/>
                <w:szCs w:val="20"/>
              </w:rPr>
              <w:t xml:space="preserve">Fungsi sebagai Pengecoh</w:t>
            </w:r>
          </w:p>
        </w:tc>
      </w:tr>
      <w:tr>
        <w:tc>
          <w:tcPr>
            <w:tcW w:type="dxa" w:w="15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B</w:t>
            </w:r>
          </w:p>
        </w:tc>
        <w:tc>
          <w:tcPr>
            <w:tcW w:type="dxa" w:w="129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Menjebak siswa yang hanya menghitung jumlah atom N tanpa membagi dengan massa molar senyawa (miskonsepsi: menganggap jumlah atom N sama dengan kadar tertinggi).</w:t>
            </w:r>
          </w:p>
        </w:tc>
      </w:tr>
      <w:tr>
        <w:tc>
          <w:tcPr>
            <w:tcW w:type="dxa" w:w="15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C</w:t>
            </w:r>
          </w:p>
        </w:tc>
        <w:tc>
          <w:tcPr>
            <w:tcW w:type="dxa" w:w="129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Distraktor kuat karena NH₄NO₃ juga memiliki 2 atom N per molekul seperti Urea, tetapi massa molarnya lebih besar sehingga %N lebih rendah — menguji ketelitian pembagian, bukan hanya membaca jumlah atom N.</w:t>
            </w:r>
          </w:p>
        </w:tc>
      </w:tr>
      <w:tr>
        <w:tc>
          <w:tcPr>
            <w:tcW w:type="dxa" w:w="15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D</w:t>
            </w:r>
          </w:p>
        </w:tc>
        <w:tc>
          <w:tcPr>
            <w:tcW w:type="dxa" w:w="129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Menjebak siswa yang salah menghitung Ar/Mr atau lupa memasukkan seluruh unsur penyusun ke dalam massa molar.</w:t>
            </w:r>
          </w:p>
        </w:tc>
      </w:tr>
      <w:tr>
        <w:tc>
          <w:tcPr>
            <w:tcW w:type="dxa" w:w="15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E</w:t>
            </w:r>
          </w:p>
        </w:tc>
        <w:tc>
          <w:tcPr>
            <w:tcW w:type="dxa" w:w="129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Menguji miskonsepsi bahwa 'mengandung unsur yang sama' berarti 'kadarnya sama' — mengabaikan pengaruh massa molar total senyawa terhadap persen komposisi.</w:t>
            </w:r>
          </w:p>
        </w:tc>
      </w:tr>
    </w:tbl>
    <w:p>
      <w:pPr>
        <w:shd w:fill="1F3864" w:color="auto" w:val="clear"/>
        <w:spacing w:after="120" w:before="260"/>
        <w:ind w:left="0"/>
      </w:pPr>
      <w:r>
        <w:rPr>
          <w:b/>
          <w:bCs/>
          <w:color w:val="FFFFFF"/>
          <w:sz w:val="22"/>
          <w:szCs w:val="22"/>
        </w:rPr>
        <w:t xml:space="preserve">6. ANALISIS LEVEL KOGNITIF DAN KARAKTERISTIK HOTS</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Level Kognitif</w:t>
            </w:r>
          </w:p>
        </w:tc>
        <w:tc>
          <w:tcPr>
            <w:tcW w:type="dxa" w:w="118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L3 (Penalaran) — setara C4 (Menganalisis) dan C5 (Mengevaluasi) pada Taksonomi Bloom Revisi.</w:t>
            </w:r>
          </w:p>
        </w:tc>
      </w:tr>
      <w:tr>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Indikator HOTS</w:t>
            </w:r>
          </w:p>
        </w:tc>
        <w:tc>
          <w:tcPr>
            <w:tcW w:type="dxa" w:w="118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1) Stimulus kontekstual (pertanian) yang membutuhkan interpretasi data tabel; 2) Menuntut perhitungan bertingkat (multi-step) pada 4 senyawa berbeda, bukan sekadar substitusi rumus tunggal; 3) Membandingkan dan mengevaluasi 4 hasil untuk mengambil keputusan; 4) Opsi jawaban dirancang untuk menjaring miskonsepsi (bukan sekadar salah hitung).</w:t>
            </w:r>
          </w:p>
        </w:tc>
      </w:tr>
      <w:tr>
        <w:tc>
          <w:tcPr>
            <w:tcW w:type="dxa" w:w="2600"/>
            <w:gridSpan w:val="1"/>
            <w:tcBorders>
              <w:top w:val="single" w:color="999999" w:sz="4"/>
              <w:left w:val="single" w:color="999999" w:sz="4"/>
              <w:bottom w:val="single" w:color="999999" w:sz="4"/>
              <w:right w:val="single" w:color="999999" w:sz="4"/>
            </w:tcBorders>
            <w:shd w:fill="F2F2F2"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Kecakapan yang Diukur</w:t>
            </w:r>
          </w:p>
        </w:tc>
        <w:tc>
          <w:tcPr>
            <w:tcW w:type="dxa" w:w="118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Penalaran kuantitatif, ketelitian prosedural (procedural fluency), dan pengambilan keputusan berbasis data (data-based decision making).</w:t>
            </w:r>
          </w:p>
        </w:tc>
      </w:tr>
    </w:tbl>
    <w:p>
      <w:pPr>
        <w:shd w:fill="1F3864" w:color="auto" w:val="clear"/>
        <w:spacing w:after="120" w:before="260"/>
        <w:ind w:left="0"/>
      </w:pPr>
      <w:r>
        <w:rPr>
          <w:b/>
          <w:bCs/>
          <w:color w:val="FFFFFF"/>
          <w:sz w:val="22"/>
          <w:szCs w:val="22"/>
        </w:rPr>
        <w:t xml:space="preserve">7. BENTUK LITERASI DAN NUMERASI</w:t>
      </w:r>
    </w:p>
    <w:p>
      <w:pPr>
        <w:spacing w:after="100"/>
      </w:pPr>
      <w:r>
        <w:rPr>
          <w:i/>
          <w:iCs/>
          <w:sz w:val="20"/>
          <w:szCs w:val="20"/>
        </w:rPr>
        <w:t xml:space="preserve">Soal ini merupakan soal numerasi terapan dalam konteks sains (scientific numeracy) yang juga menuntut kemampuan literasi membaca data.</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200"/>
            <w:gridSpan w:val="1"/>
            <w:tcBorders>
              <w:top w:val="single" w:color="999999" w:sz="4"/>
              <w:left w:val="single" w:color="999999" w:sz="4"/>
              <w:bottom w:val="single" w:color="999999" w:sz="4"/>
              <w:right w:val="single" w:color="999999" w:sz="4"/>
            </w:tcBorders>
            <w:shd w:fill="DCE6F1"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Komponen</w:t>
            </w:r>
          </w:p>
        </w:tc>
        <w:tc>
          <w:tcPr>
            <w:tcW w:type="dxa" w:w="2600"/>
            <w:gridSpan w:val="1"/>
            <w:tcBorders>
              <w:top w:val="single" w:color="999999" w:sz="4"/>
              <w:left w:val="single" w:color="999999" w:sz="4"/>
              <w:bottom w:val="single" w:color="999999" w:sz="4"/>
              <w:right w:val="single" w:color="999999" w:sz="4"/>
            </w:tcBorders>
            <w:shd w:fill="DCE6F1" w:color="auto" w:val="clear"/>
            <w:tcMar>
              <w:top w:type="dxa" w:w="80"/>
              <w:left w:type="dxa" w:w="100"/>
              <w:bottom w:type="dxa" w:w="80"/>
              <w:right w:type="dxa" w:w="100"/>
            </w:tcMar>
            <w:vAlign w:val="center"/>
          </w:tcPr>
          <w:p>
            <w:pPr>
              <w:jc w:val="center"/>
            </w:pPr>
            <w:r>
              <w:rPr>
                <w:b/>
                <w:bCs/>
                <w:i w:val="false"/>
                <w:iCs w:val="false"/>
                <w:color w:val="000000"/>
                <w:sz w:val="20"/>
                <w:szCs w:val="20"/>
              </w:rPr>
              <w:t xml:space="preserve">Klasifikasi</w:t>
            </w:r>
          </w:p>
        </w:tc>
        <w:tc>
          <w:tcPr>
            <w:tcW w:type="dxa" w:w="9600"/>
            <w:gridSpan w:val="1"/>
            <w:tcBorders>
              <w:top w:val="single" w:color="999999" w:sz="4"/>
              <w:left w:val="single" w:color="999999" w:sz="4"/>
              <w:bottom w:val="single" w:color="999999" w:sz="4"/>
              <w:right w:val="single" w:color="999999" w:sz="4"/>
            </w:tcBorders>
            <w:shd w:fill="DCE6F1" w:color="auto" w:val="clear"/>
            <w:tcMar>
              <w:top w:type="dxa" w:w="80"/>
              <w:left w:type="dxa" w:w="100"/>
              <w:bottom w:type="dxa" w:w="80"/>
              <w:right w:type="dxa" w:w="100"/>
            </w:tcMar>
            <w:vAlign w:val="center"/>
          </w:tcPr>
          <w:p>
            <w:pPr>
              <w:jc w:val="left"/>
            </w:pPr>
            <w:r>
              <w:rPr>
                <w:b/>
                <w:bCs/>
                <w:i w:val="false"/>
                <w:iCs w:val="false"/>
                <w:color w:val="000000"/>
                <w:sz w:val="20"/>
                <w:szCs w:val="20"/>
              </w:rPr>
              <w:t xml:space="preserve">Deskripsi pada Soal Ini</w:t>
            </w:r>
          </w:p>
        </w:tc>
      </w:tr>
      <w:tr>
        <w:tc>
          <w:tcPr>
            <w:tcW w:type="dxa" w:w="3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bCs/>
                <w:i w:val="false"/>
                <w:iCs w:val="false"/>
                <w:color w:val="000000"/>
                <w:sz w:val="20"/>
                <w:szCs w:val="20"/>
              </w:rPr>
              <w:t xml:space="preserve">Domain Numerasi</w:t>
            </w:r>
          </w:p>
        </w:tc>
        <w:tc>
          <w:tcPr>
            <w:tcW w:type="dxa" w:w="26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Bilangan &amp; Aljabar</w:t>
            </w:r>
          </w:p>
        </w:tc>
        <w:tc>
          <w:tcPr>
            <w:tcW w:type="dxa" w:w="96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Menggunakan perbandingan, pecahan/persentase, dan substitusi ke dalam rumus persen komposisi (aljabar sederhana) untuk membandingkan empat nilai numerik.</w:t>
            </w:r>
          </w:p>
        </w:tc>
      </w:tr>
      <w:tr>
        <w:tc>
          <w:tcPr>
            <w:tcW w:type="dxa" w:w="3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bCs/>
                <w:i w:val="false"/>
                <w:iCs w:val="false"/>
                <w:color w:val="000000"/>
                <w:sz w:val="20"/>
                <w:szCs w:val="20"/>
              </w:rPr>
              <w:t xml:space="preserve">Konteks Numerasi</w:t>
            </w:r>
          </w:p>
        </w:tc>
        <w:tc>
          <w:tcPr>
            <w:tcW w:type="dxa" w:w="26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Saintifik</w:t>
            </w:r>
          </w:p>
        </w:tc>
        <w:tc>
          <w:tcPr>
            <w:tcW w:type="dxa" w:w="96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Konteks pertanian/pemupukan sebagai penerapan konsep stoikiometri dalam kehidupan sehari-hari dan dunia kerja/vokasional.</w:t>
            </w:r>
          </w:p>
        </w:tc>
      </w:tr>
      <w:tr>
        <w:tc>
          <w:tcPr>
            <w:tcW w:type="dxa" w:w="3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bCs/>
                <w:i w:val="false"/>
                <w:iCs w:val="false"/>
                <w:color w:val="000000"/>
                <w:sz w:val="20"/>
                <w:szCs w:val="20"/>
              </w:rPr>
              <w:t xml:space="preserve">Proses Kognitif Numerasi</w:t>
            </w:r>
          </w:p>
        </w:tc>
        <w:tc>
          <w:tcPr>
            <w:tcW w:type="dxa" w:w="26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Menerapkan &amp; Menalar</w:t>
            </w:r>
          </w:p>
        </w:tc>
        <w:tc>
          <w:tcPr>
            <w:tcW w:type="dxa" w:w="96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Menerapkan rumus %massa pada 4 kasus berbeda, lalu menalar (membandingkan-mengevaluasi) untuk menentukan nilai maksimum di antara hasil perhitungan.</w:t>
            </w:r>
          </w:p>
        </w:tc>
      </w:tr>
      <w:tr>
        <w:tc>
          <w:tcPr>
            <w:tcW w:type="dxa" w:w="3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bCs/>
                <w:i w:val="false"/>
                <w:iCs w:val="false"/>
                <w:color w:val="000000"/>
                <w:sz w:val="20"/>
                <w:szCs w:val="20"/>
              </w:rPr>
              <w:t xml:space="preserve">Komponen Literasi</w:t>
            </w:r>
          </w:p>
        </w:tc>
        <w:tc>
          <w:tcPr>
            <w:tcW w:type="dxa" w:w="26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Literasi Sains &amp; Data</w:t>
            </w:r>
          </w:p>
        </w:tc>
        <w:tc>
          <w:tcPr>
            <w:tcW w:type="dxa" w:w="96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Membaca dan menafsirkan tabel (rumus kimia, massa molar) sebagai teks informasional multimodal, lalu menghubungkan informasi tekstual/simbolik (notasi kimia) dengan data numerik untuk menjawab pertanyaan kontekstual.</w:t>
            </w:r>
          </w:p>
        </w:tc>
      </w:tr>
      <w:tr>
        <w:tc>
          <w:tcPr>
            <w:tcW w:type="dxa" w:w="32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bCs/>
                <w:i w:val="false"/>
                <w:iCs w:val="false"/>
                <w:color w:val="000000"/>
                <w:sz w:val="20"/>
                <w:szCs w:val="20"/>
              </w:rPr>
              <w:t xml:space="preserve">Bentuk Teks Stimulus</w:t>
            </w:r>
          </w:p>
        </w:tc>
        <w:tc>
          <w:tcPr>
            <w:tcW w:type="dxa" w:w="26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center"/>
            </w:pPr>
            <w:r>
              <w:rPr>
                <w:b w:val="false"/>
                <w:bCs w:val="false"/>
                <w:i w:val="false"/>
                <w:iCs w:val="false"/>
                <w:color w:val="000000"/>
                <w:sz w:val="20"/>
                <w:szCs w:val="20"/>
              </w:rPr>
              <w:t xml:space="preserve">Teks Informasi + Tabel</w:t>
            </w:r>
          </w:p>
        </w:tc>
        <w:tc>
          <w:tcPr>
            <w:tcW w:type="dxa" w:w="9600"/>
            <w:gridSpan w:val="1"/>
            <w:tcBorders>
              <w:top w:val="single" w:color="999999" w:sz="4"/>
              <w:left w:val="single" w:color="999999" w:sz="4"/>
              <w:bottom w:val="single" w:color="999999" w:sz="4"/>
              <w:right w:val="single" w:color="999999" w:sz="4"/>
            </w:tcBorders>
            <w:tcMar>
              <w:top w:type="dxa" w:w="80"/>
              <w:left w:type="dxa" w:w="100"/>
              <w:bottom w:type="dxa" w:w="80"/>
              <w:right w:type="dxa" w:w="100"/>
            </w:tcMar>
            <w:vAlign w:val="center"/>
          </w:tcPr>
          <w:p>
            <w:pPr>
              <w:jc w:val="left"/>
            </w:pPr>
            <w:r>
              <w:rPr>
                <w:b w:val="false"/>
                <w:bCs w:val="false"/>
                <w:i w:val="false"/>
                <w:iCs w:val="false"/>
                <w:color w:val="000000"/>
                <w:sz w:val="20"/>
                <w:szCs w:val="20"/>
              </w:rPr>
              <w:t xml:space="preserve">Narasi pendek (situasi petani) dipadukan dengan tabel data kuantitatif (rumus kimia dan massa molar) — sesuai bentuk stimulus AKM/TKA yang menggabungkan teks dan representasi data.</w:t>
            </w:r>
          </w:p>
        </w:tc>
      </w:tr>
    </w:tbl>
    <w:p>
      <w:pPr>
        <w:pBdr>
          <w:top w:val="single" w:color="999999" w:sz="4" w:space="4"/>
        </w:pBdr>
        <w:spacing w:before="300"/>
      </w:pPr>
    </w:p>
    <w:p>
      <w:pPr>
        <w:spacing w:before="200"/>
        <w:jc w:val="right"/>
      </w:pPr>
      <w:r>
        <w:rPr>
          <w:sz w:val="20"/>
          <w:szCs w:val="20"/>
        </w:rPr>
        <w:t xml:space="preserve">Sabang, 12 Agustus 2026</w:t>
      </w:r>
    </w:p>
    <w:p>
      <w:pPr>
        <w:spacing w:after="800"/>
        <w:jc w:val="right"/>
      </w:pPr>
      <w:r>
        <w:rPr>
          <w:sz w:val="20"/>
          <w:szCs w:val="20"/>
        </w:rPr>
        <w:t xml:space="preserve">Penyusun,</w:t>
      </w:r>
    </w:p>
    <w:p>
      <w:pPr>
        <w:jc w:val="right"/>
      </w:pPr>
      <w:r>
        <w:rPr>
          <w:b/>
          <w:bCs/>
          <w:sz w:val="20"/>
          <w:szCs w:val="20"/>
          <w:u w:val="single"/>
        </w:rPr>
        <w:t xml:space="preserve">Amna, S.Pd</w:t>
      </w:r>
    </w:p>
    <w:sectPr>
      <w:pgSz w:w="16838" w:h="11906" w:orient="landscape"/>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2026-08-12T14:20:52.253Z</dcterms:created>
  <dcterms:modified xsi:type="dcterms:W3CDTF">2026-08-12T14:20:52.269Z</dcterms:modified>
</cp:coreProperties>
</file>

<file path=docProps/custom.xml><?xml version="1.0" encoding="utf-8"?>
<Properties xmlns="http://schemas.openxmlformats.org/officeDocument/2006/custom-properties" xmlns:vt="http://schemas.openxmlformats.org/officeDocument/2006/docPropsVTypes"/>
</file>