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jc w:val="center"/>
      </w:pPr>
      <w:r>
        <w:rPr>
          <w:b/>
          <w:bCs/>
          <w:sz w:val="32"/>
          <w:szCs w:val="32"/>
        </w:rPr>
        <w:t xml:space="preserve">KARTU SOAL MODEL TKA</w:t>
      </w:r>
    </w:p>
    <w:p>
      <w:pPr>
        <w:spacing w:after="60"/>
      </w:pPr>
      <w:r>
        <w:rPr>
          <w:i/>
          <w:iCs/>
          <w:sz w:val="20"/>
          <w:szCs w:val="20"/>
        </w:rPr>
        <w:t xml:space="preserve">(Disusun berdasarkan LK 1, LK 2, dan LK 3 — Revisi Soal Asesmen)</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2200"/>
        <w:gridCol w:w="7880"/>
      </w:tblGrid>
      <w:tr>
        <w:tc>
          <w:tcPr>
            <w:tcW w:type="dxa" w:w="2200"/>
            <w:tcBorders>
              <w:top w:val="single" w:color="999999" w:sz="4"/>
              <w:left w:val="single" w:color="999999" w:sz="4"/>
              <w:bottom w:val="single" w:color="999999" w:sz="4"/>
              <w:right w:val="single" w:color="999999" w:sz="4"/>
            </w:tcBorders>
            <w:shd w:fill="F2F2F2" w:val="clear"/>
            <w:vAlign w:val="center"/>
          </w:tcPr>
          <w:p>
            <w:r>
              <w:rPr>
                <w:b/>
                <w:bCs/>
                <w:sz w:val="22"/>
                <w:szCs w:val="22"/>
              </w:rPr>
              <w:t xml:space="preserve">Mata Pelajaran</w:t>
            </w:r>
          </w:p>
        </w:tc>
        <w:tc>
          <w:tcPr>
            <w:tcW w:type="dxa" w:w="7880"/>
            <w:tcBorders>
              <w:top w:val="single" w:color="999999" w:sz="4"/>
              <w:left w:val="single" w:color="999999" w:sz="4"/>
              <w:bottom w:val="single" w:color="999999" w:sz="4"/>
              <w:right w:val="single" w:color="999999" w:sz="4"/>
            </w:tcBorders>
            <w:vAlign w:val="center"/>
          </w:tcPr>
          <w:p>
            <w:r>
              <w:rPr>
                <w:sz w:val="22"/>
                <w:szCs w:val="22"/>
              </w:rPr>
              <w:t xml:space="preserve">Kimia</w:t>
            </w:r>
          </w:p>
        </w:tc>
      </w:tr>
      <w:tr>
        <w:tc>
          <w:tcPr>
            <w:tcW w:type="dxa" w:w="2200"/>
            <w:tcBorders>
              <w:top w:val="single" w:color="999999" w:sz="4"/>
              <w:left w:val="single" w:color="999999" w:sz="4"/>
              <w:bottom w:val="single" w:color="999999" w:sz="4"/>
              <w:right w:val="single" w:color="999999" w:sz="4"/>
            </w:tcBorders>
            <w:shd w:fill="F2F2F2" w:val="clear"/>
            <w:vAlign w:val="center"/>
          </w:tcPr>
          <w:p>
            <w:r>
              <w:rPr>
                <w:b/>
                <w:bCs/>
                <w:sz w:val="22"/>
                <w:szCs w:val="22"/>
              </w:rPr>
              <w:t xml:space="preserve">Asal Sekolah</w:t>
            </w:r>
          </w:p>
        </w:tc>
        <w:tc>
          <w:tcPr>
            <w:tcW w:type="dxa" w:w="7880"/>
            <w:tcBorders>
              <w:top w:val="single" w:color="999999" w:sz="4"/>
              <w:left w:val="single" w:color="999999" w:sz="4"/>
              <w:bottom w:val="single" w:color="999999" w:sz="4"/>
              <w:right w:val="single" w:color="999999" w:sz="4"/>
            </w:tcBorders>
            <w:vAlign w:val="center"/>
          </w:tcPr>
          <w:p>
            <w:r>
              <w:rPr>
                <w:sz w:val="22"/>
                <w:szCs w:val="22"/>
              </w:rPr>
              <w:t xml:space="preserve">SMA Negeri 2 Sabang</w:t>
            </w:r>
          </w:p>
        </w:tc>
      </w:tr>
      <w:tr>
        <w:tc>
          <w:tcPr>
            <w:tcW w:type="dxa" w:w="2200"/>
            <w:tcBorders>
              <w:top w:val="single" w:color="999999" w:sz="4"/>
              <w:left w:val="single" w:color="999999" w:sz="4"/>
              <w:bottom w:val="single" w:color="999999" w:sz="4"/>
              <w:right w:val="single" w:color="999999" w:sz="4"/>
            </w:tcBorders>
            <w:shd w:fill="F2F2F2" w:val="clear"/>
            <w:vAlign w:val="center"/>
          </w:tcPr>
          <w:p>
            <w:r>
              <w:rPr>
                <w:b/>
                <w:bCs/>
                <w:sz w:val="22"/>
                <w:szCs w:val="22"/>
              </w:rPr>
              <w:t xml:space="preserve">Penyusun</w:t>
            </w:r>
          </w:p>
        </w:tc>
        <w:tc>
          <w:tcPr>
            <w:tcW w:type="dxa" w:w="7880"/>
            <w:tcBorders>
              <w:top w:val="single" w:color="999999" w:sz="4"/>
              <w:left w:val="single" w:color="999999" w:sz="4"/>
              <w:bottom w:val="single" w:color="999999" w:sz="4"/>
              <w:right w:val="single" w:color="999999" w:sz="4"/>
            </w:tcBorders>
            <w:vAlign w:val="center"/>
          </w:tcPr>
          <w:p>
            <w:r>
              <w:rPr>
                <w:sz w:val="22"/>
                <w:szCs w:val="22"/>
              </w:rPr>
              <w:t xml:space="preserve">Amna, S.Pd.</w:t>
            </w:r>
          </w:p>
        </w:tc>
      </w:tr>
      <w:tr>
        <w:tc>
          <w:tcPr>
            <w:tcW w:type="dxa" w:w="2200"/>
            <w:tcBorders>
              <w:top w:val="single" w:color="999999" w:sz="4"/>
              <w:left w:val="single" w:color="999999" w:sz="4"/>
              <w:bottom w:val="single" w:color="999999" w:sz="4"/>
              <w:right w:val="single" w:color="999999" w:sz="4"/>
            </w:tcBorders>
            <w:shd w:fill="F2F2F2" w:val="clear"/>
            <w:vAlign w:val="center"/>
          </w:tcPr>
          <w:p>
            <w:r>
              <w:rPr>
                <w:b/>
                <w:bCs/>
                <w:sz w:val="22"/>
                <w:szCs w:val="22"/>
              </w:rPr>
              <w:t xml:space="preserve">Fase/Kelas</w:t>
            </w:r>
          </w:p>
        </w:tc>
        <w:tc>
          <w:tcPr>
            <w:tcW w:type="dxa" w:w="7880"/>
            <w:tcBorders>
              <w:top w:val="single" w:color="999999" w:sz="4"/>
              <w:left w:val="single" w:color="999999" w:sz="4"/>
              <w:bottom w:val="single" w:color="999999" w:sz="4"/>
              <w:right w:val="single" w:color="999999" w:sz="4"/>
            </w:tcBorders>
            <w:vAlign w:val="center"/>
          </w:tcPr>
          <w:p>
            <w:r>
              <w:rPr>
                <w:sz w:val="22"/>
                <w:szCs w:val="22"/>
              </w:rPr>
              <w:t xml:space="preserve">F / XI dan XII</w:t>
            </w:r>
          </w:p>
        </w:tc>
      </w:tr>
      <w:tr>
        <w:tc>
          <w:tcPr>
            <w:tcW w:type="dxa" w:w="2200"/>
            <w:tcBorders>
              <w:top w:val="single" w:color="999999" w:sz="4"/>
              <w:left w:val="single" w:color="999999" w:sz="4"/>
              <w:bottom w:val="single" w:color="999999" w:sz="4"/>
              <w:right w:val="single" w:color="999999" w:sz="4"/>
            </w:tcBorders>
            <w:shd w:fill="F2F2F2" w:val="clear"/>
            <w:vAlign w:val="center"/>
          </w:tcPr>
          <w:p>
            <w:r>
              <w:rPr>
                <w:b/>
                <w:bCs/>
                <w:sz w:val="22"/>
                <w:szCs w:val="22"/>
              </w:rPr>
              <w:t xml:space="preserve">Acuan</w:t>
            </w:r>
          </w:p>
        </w:tc>
        <w:tc>
          <w:tcPr>
            <w:tcW w:type="dxa" w:w="7880"/>
            <w:tcBorders>
              <w:top w:val="single" w:color="999999" w:sz="4"/>
              <w:left w:val="single" w:color="999999" w:sz="4"/>
              <w:bottom w:val="single" w:color="999999" w:sz="4"/>
              <w:right w:val="single" w:color="999999" w:sz="4"/>
            </w:tcBorders>
            <w:vAlign w:val="center"/>
          </w:tcPr>
          <w:p>
            <w:r>
              <w:rPr>
                <w:sz w:val="22"/>
                <w:szCs w:val="22"/>
              </w:rPr>
              <w:t xml:space="preserve">5 indikator TKA dengan capaian terendah (Rapor Mutu TKA 2025) — difokuskan pada 3 soal hasil revisi LK 3</w:t>
            </w:r>
          </w:p>
        </w:tc>
      </w:tr>
    </w:tbl>
    <w:p>
      <w:pPr>
        <w:spacing w:after="200"/>
      </w:pPr>
    </w:p>
    <w:p>
      <w:pPr>
        <w:spacing w:after="120" w:before="300"/>
      </w:pPr>
      <w:r>
        <w:rPr>
          <w:b/>
          <w:bCs/>
          <w:sz w:val="24"/>
          <w:szCs w:val="24"/>
        </w:rPr>
        <w:t xml:space="preserve">KARTU SOAL NOMOR 1</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2200"/>
        <w:gridCol w:w="7880"/>
      </w:tblGrid>
      <w:tr>
        <w:tc>
          <w:tcPr>
            <w:tcW w:type="dxa" w:w="2200"/>
            <w:tcBorders>
              <w:top w:val="single" w:color="999999" w:sz="4"/>
              <w:left w:val="single" w:color="999999" w:sz="4"/>
              <w:bottom w:val="single" w:color="999999" w:sz="4"/>
              <w:right w:val="single" w:color="999999" w:sz="4"/>
            </w:tcBorders>
            <w:shd w:fill="F2F2F2" w:val="clear"/>
            <w:vAlign w:val="center"/>
          </w:tcPr>
          <w:p>
            <w:r>
              <w:rPr>
                <w:b/>
                <w:bCs/>
                <w:sz w:val="22"/>
                <w:szCs w:val="22"/>
              </w:rPr>
              <w:t xml:space="preserve">Tujuan Pembelajaran</w:t>
            </w:r>
          </w:p>
        </w:tc>
        <w:tc>
          <w:tcPr>
            <w:tcW w:type="dxa" w:w="7880"/>
            <w:tcBorders>
              <w:top w:val="single" w:color="999999" w:sz="4"/>
              <w:left w:val="single" w:color="999999" w:sz="4"/>
              <w:bottom w:val="single" w:color="999999" w:sz="4"/>
              <w:right w:val="single" w:color="999999" w:sz="4"/>
            </w:tcBorders>
            <w:vAlign w:val="center"/>
          </w:tcPr>
          <w:p>
            <w:r>
              <w:rPr>
                <w:sz w:val="22"/>
                <w:szCs w:val="22"/>
              </w:rPr>
              <w:t xml:space="preserve">Menghitung dan menganalisis tekanan osmotik larutan untuk memprediksi sifat koligatifnya (hipotonik, isotonik, hipertonik) serta penerapannya dalam konteks nyata (pemilihan cairan infus).</w:t>
            </w:r>
          </w:p>
        </w:tc>
      </w:tr>
      <w:tr>
        <w:tc>
          <w:tcPr>
            <w:tcW w:type="dxa" w:w="2200"/>
            <w:tcBorders>
              <w:top w:val="single" w:color="999999" w:sz="4"/>
              <w:left w:val="single" w:color="999999" w:sz="4"/>
              <w:bottom w:val="single" w:color="999999" w:sz="4"/>
              <w:right w:val="single" w:color="999999" w:sz="4"/>
            </w:tcBorders>
            <w:shd w:fill="F2F2F2" w:val="clear"/>
            <w:vAlign w:val="center"/>
          </w:tcPr>
          <w:p>
            <w:r>
              <w:rPr>
                <w:b/>
                <w:bCs/>
                <w:sz w:val="22"/>
                <w:szCs w:val="22"/>
              </w:rPr>
              <w:t xml:space="preserve">Materi</w:t>
            </w:r>
          </w:p>
        </w:tc>
        <w:tc>
          <w:tcPr>
            <w:tcW w:type="dxa" w:w="7880"/>
            <w:tcBorders>
              <w:top w:val="single" w:color="999999" w:sz="4"/>
              <w:left w:val="single" w:color="999999" w:sz="4"/>
              <w:bottom w:val="single" w:color="999999" w:sz="4"/>
              <w:right w:val="single" w:color="999999" w:sz="4"/>
            </w:tcBorders>
            <w:vAlign w:val="center"/>
          </w:tcPr>
          <w:p>
            <w:r>
              <w:rPr>
                <w:sz w:val="22"/>
                <w:szCs w:val="22"/>
              </w:rPr>
              <w:t xml:space="preserve">Sifat Koligatif Larutan – Tekanan Osmotik (Fase F / Kelas XII)</w:t>
            </w:r>
          </w:p>
        </w:tc>
      </w:tr>
      <w:tr>
        <w:tc>
          <w:tcPr>
            <w:tcW w:type="dxa" w:w="2200"/>
            <w:tcBorders>
              <w:top w:val="single" w:color="999999" w:sz="4"/>
              <w:left w:val="single" w:color="999999" w:sz="4"/>
              <w:bottom w:val="single" w:color="999999" w:sz="4"/>
              <w:right w:val="single" w:color="999999" w:sz="4"/>
            </w:tcBorders>
            <w:shd w:fill="F2F2F2" w:val="clear"/>
            <w:vAlign w:val="center"/>
          </w:tcPr>
          <w:p>
            <w:r>
              <w:rPr>
                <w:b/>
                <w:bCs/>
                <w:sz w:val="22"/>
                <w:szCs w:val="22"/>
              </w:rPr>
              <w:t xml:space="preserve">Indikator Soal</w:t>
            </w:r>
          </w:p>
        </w:tc>
        <w:tc>
          <w:tcPr>
            <w:tcW w:type="dxa" w:w="7880"/>
            <w:tcBorders>
              <w:top w:val="single" w:color="999999" w:sz="4"/>
              <w:left w:val="single" w:color="999999" w:sz="4"/>
              <w:bottom w:val="single" w:color="999999" w:sz="4"/>
              <w:right w:val="single" w:color="999999" w:sz="4"/>
            </w:tcBorders>
            <w:vAlign w:val="center"/>
          </w:tcPr>
          <w:p>
            <w:r>
              <w:rPr>
                <w:sz w:val="22"/>
                <w:szCs w:val="22"/>
              </w:rPr>
              <w:t xml:space="preserve">Disajikan data konsentrasi dan faktor van't Hoff dua larutan infus (elektrolit kuat dan non-elektrolit) dalam konteks medis, murid dapat menghitung tekanan osmotik masing-masing larutan, membandingkannya dengan tekanan osmotik plasma darah, serta menentukan sifat larutan tersebut terhadap sel darah.</w:t>
            </w:r>
          </w:p>
        </w:tc>
      </w:tr>
      <w:tr>
        <w:tc>
          <w:tcPr>
            <w:tcW w:type="dxa" w:w="2200"/>
            <w:tcBorders>
              <w:top w:val="single" w:color="999999" w:sz="4"/>
              <w:left w:val="single" w:color="999999" w:sz="4"/>
              <w:bottom w:val="single" w:color="999999" w:sz="4"/>
              <w:right w:val="single" w:color="999999" w:sz="4"/>
            </w:tcBorders>
            <w:shd w:fill="F2F2F2" w:val="clear"/>
            <w:vAlign w:val="center"/>
          </w:tcPr>
          <w:p>
            <w:r>
              <w:rPr>
                <w:b/>
                <w:bCs/>
                <w:sz w:val="22"/>
                <w:szCs w:val="22"/>
              </w:rPr>
              <w:t xml:space="preserve">Level Kognitif / Bentuk Soal</w:t>
            </w:r>
          </w:p>
        </w:tc>
        <w:tc>
          <w:tcPr>
            <w:tcW w:type="dxa" w:w="7880"/>
            <w:tcBorders>
              <w:top w:val="single" w:color="999999" w:sz="4"/>
              <w:left w:val="single" w:color="999999" w:sz="4"/>
              <w:bottom w:val="single" w:color="999999" w:sz="4"/>
              <w:right w:val="single" w:color="999999" w:sz="4"/>
            </w:tcBorders>
            <w:vAlign w:val="center"/>
          </w:tcPr>
          <w:p>
            <w:r>
              <w:rPr>
                <w:sz w:val="22"/>
                <w:szCs w:val="22"/>
              </w:rPr>
              <w:t xml:space="preserve">L3 (Penalaran) / C4–C5 / Uraian Analisis Kasus (HOTS)</w:t>
            </w:r>
          </w:p>
        </w:tc>
      </w:tr>
    </w:tbl>
    <w:p>
      <w:pPr>
        <w:spacing w:after="80" w:before="200"/>
      </w:pPr>
      <w:r>
        <w:rPr>
          <w:b/>
          <w:bCs/>
          <w:sz w:val="22"/>
          <w:szCs w:val="22"/>
        </w:rPr>
        <w:t xml:space="preserve">Soal 1:</w:t>
      </w:r>
    </w:p>
    <w:p>
      <w:pPr>
        <w:spacing w:after="120"/>
      </w:pPr>
      <w:r>
        <w:rPr>
          <w:b w:val="false"/>
          <w:bCs w:val="false"/>
          <w:i w:val="false"/>
          <w:iCs w:val="false"/>
          <w:sz w:val="22"/>
          <w:szCs w:val="22"/>
        </w:rPr>
        <w:t xml:space="preserve">Di ruang persiapan sebuah rumah sakit, seorang perawat harus memilih cairan infus yang aman untuk pasien. Sifat aman ini ditentukan oleh kesesuaian tekanan osmotik cairan infus dengan tekanan osmotik plasma darah manusia, yaitu sekitar 7,4 atm pada suhu tubuh (37 °C = 310 K). Dua larutan infus sedang diuji sebelum digunakan, dengan data sebagai berikut.</w:t>
      </w:r>
    </w:p>
    <w:tbl>
      <w:tblPr>
        <w:tblW w:type="dxa" w:w="9800"/>
        <w:tblBorders>
          <w:top w:val="single" w:color="auto" w:sz="4"/>
          <w:left w:val="single" w:color="auto" w:sz="4"/>
          <w:bottom w:val="single" w:color="auto" w:sz="4"/>
          <w:right w:val="single" w:color="auto" w:sz="4"/>
          <w:insideH w:val="single" w:color="auto" w:sz="4"/>
          <w:insideV w:val="single" w:color="auto" w:sz="4"/>
        </w:tblBorders>
      </w:tblPr>
      <w:tblGrid>
        <w:gridCol w:w="1400"/>
        <w:gridCol w:w="3600"/>
        <w:gridCol w:w="2400"/>
        <w:gridCol w:w="2400"/>
      </w:tblGrid>
      <w:tr>
        <w:trPr>
          <w:tblHeader/>
        </w:trPr>
        <w:tc>
          <w:tcPr>
            <w:tcW w:type="dxa" w:w="1400"/>
            <w:tcBorders>
              <w:top w:val="single" w:color="999999" w:sz="4"/>
              <w:left w:val="single" w:color="999999" w:sz="4"/>
              <w:bottom w:val="single" w:color="999999" w:sz="4"/>
              <w:right w:val="single" w:color="999999" w:sz="4"/>
            </w:tcBorders>
            <w:shd w:fill="D9D9D9" w:val="clear"/>
            <w:vAlign w:val="center"/>
          </w:tcPr>
          <w:p>
            <w:pPr>
              <w:jc w:val="center"/>
            </w:pPr>
            <w:r>
              <w:rPr>
                <w:b/>
                <w:bCs/>
                <w:sz w:val="20"/>
                <w:szCs w:val="20"/>
              </w:rPr>
              <w:t xml:space="preserve">Larutan</w:t>
            </w:r>
          </w:p>
        </w:tc>
        <w:tc>
          <w:tcPr>
            <w:tcW w:type="dxa" w:w="3600"/>
            <w:tcBorders>
              <w:top w:val="single" w:color="999999" w:sz="4"/>
              <w:left w:val="single" w:color="999999" w:sz="4"/>
              <w:bottom w:val="single" w:color="999999" w:sz="4"/>
              <w:right w:val="single" w:color="999999" w:sz="4"/>
            </w:tcBorders>
            <w:shd w:fill="D9D9D9" w:val="clear"/>
            <w:vAlign w:val="center"/>
          </w:tcPr>
          <w:p>
            <w:pPr>
              <w:jc w:val="center"/>
            </w:pPr>
            <w:r>
              <w:rPr>
                <w:b/>
                <w:bCs/>
                <w:sz w:val="20"/>
                <w:szCs w:val="20"/>
              </w:rPr>
              <w:t xml:space="preserve">Zat Terlarut</w:t>
            </w:r>
          </w:p>
        </w:tc>
        <w:tc>
          <w:tcPr>
            <w:tcW w:type="dxa" w:w="2400"/>
            <w:tcBorders>
              <w:top w:val="single" w:color="999999" w:sz="4"/>
              <w:left w:val="single" w:color="999999" w:sz="4"/>
              <w:bottom w:val="single" w:color="999999" w:sz="4"/>
              <w:right w:val="single" w:color="999999" w:sz="4"/>
            </w:tcBorders>
            <w:shd w:fill="D9D9D9" w:val="clear"/>
            <w:vAlign w:val="center"/>
          </w:tcPr>
          <w:p>
            <w:pPr>
              <w:jc w:val="center"/>
            </w:pPr>
            <w:r>
              <w:rPr>
                <w:b/>
                <w:bCs/>
                <w:sz w:val="20"/>
                <w:szCs w:val="20"/>
              </w:rPr>
              <w:t xml:space="preserve">Konsentrasi</w:t>
            </w:r>
          </w:p>
        </w:tc>
        <w:tc>
          <w:tcPr>
            <w:tcW w:type="dxa" w:w="2400"/>
            <w:tcBorders>
              <w:top w:val="single" w:color="999999" w:sz="4"/>
              <w:left w:val="single" w:color="999999" w:sz="4"/>
              <w:bottom w:val="single" w:color="999999" w:sz="4"/>
              <w:right w:val="single" w:color="999999" w:sz="4"/>
            </w:tcBorders>
            <w:shd w:fill="D9D9D9" w:val="clear"/>
            <w:vAlign w:val="center"/>
          </w:tcPr>
          <w:p>
            <w:pPr>
              <w:jc w:val="center"/>
            </w:pPr>
            <w:r>
              <w:rPr>
                <w:b/>
                <w:bCs/>
                <w:sz w:val="20"/>
                <w:szCs w:val="20"/>
              </w:rPr>
              <w:t xml:space="preserve">Faktor van't Hoff (i)</w:t>
            </w:r>
          </w:p>
        </w:tc>
      </w:tr>
      <w:tr>
        <w:tc>
          <w:tcPr>
            <w:tcW w:type="dxa" w:w="1400"/>
            <w:tcBorders>
              <w:top w:val="single" w:color="999999" w:sz="4"/>
              <w:left w:val="single" w:color="999999" w:sz="4"/>
              <w:bottom w:val="single" w:color="999999" w:sz="4"/>
              <w:right w:val="single" w:color="999999" w:sz="4"/>
            </w:tcBorders>
            <w:vAlign w:val="center"/>
          </w:tcPr>
          <w:p>
            <w:pPr>
              <w:jc w:val="center"/>
            </w:pPr>
            <w:r>
              <w:rPr>
                <w:sz w:val="20"/>
                <w:szCs w:val="20"/>
              </w:rPr>
              <w:t xml:space="preserve">A</w:t>
            </w:r>
          </w:p>
        </w:tc>
        <w:tc>
          <w:tcPr>
            <w:tcW w:type="dxa" w:w="3600"/>
            <w:tcBorders>
              <w:top w:val="single" w:color="999999" w:sz="4"/>
              <w:left w:val="single" w:color="999999" w:sz="4"/>
              <w:bottom w:val="single" w:color="999999" w:sz="4"/>
              <w:right w:val="single" w:color="999999" w:sz="4"/>
            </w:tcBorders>
            <w:vAlign w:val="center"/>
          </w:tcPr>
          <w:p>
            <w:pPr>
              <w:jc w:val="center"/>
            </w:pPr>
            <w:r>
              <w:rPr>
                <w:sz w:val="20"/>
                <w:szCs w:val="20"/>
              </w:rPr>
              <w:t xml:space="preserve">NaCl (elektrolit kuat)</w:t>
            </w:r>
          </w:p>
        </w:tc>
        <w:tc>
          <w:tcPr>
            <w:tcW w:type="dxa" w:w="2400"/>
            <w:tcBorders>
              <w:top w:val="single" w:color="999999" w:sz="4"/>
              <w:left w:val="single" w:color="999999" w:sz="4"/>
              <w:bottom w:val="single" w:color="999999" w:sz="4"/>
              <w:right w:val="single" w:color="999999" w:sz="4"/>
            </w:tcBorders>
            <w:vAlign w:val="center"/>
          </w:tcPr>
          <w:p>
            <w:pPr>
              <w:jc w:val="center"/>
            </w:pPr>
            <w:r>
              <w:rPr>
                <w:sz w:val="20"/>
                <w:szCs w:val="20"/>
              </w:rPr>
              <w:t xml:space="preserve">0,10 M</w:t>
            </w:r>
          </w:p>
        </w:tc>
        <w:tc>
          <w:tcPr>
            <w:tcW w:type="dxa" w:w="2400"/>
            <w:tcBorders>
              <w:top w:val="single" w:color="999999" w:sz="4"/>
              <w:left w:val="single" w:color="999999" w:sz="4"/>
              <w:bottom w:val="single" w:color="999999" w:sz="4"/>
              <w:right w:val="single" w:color="999999" w:sz="4"/>
            </w:tcBorders>
            <w:vAlign w:val="center"/>
          </w:tcPr>
          <w:p>
            <w:pPr>
              <w:jc w:val="center"/>
            </w:pPr>
            <w:r>
              <w:rPr>
                <w:sz w:val="20"/>
                <w:szCs w:val="20"/>
              </w:rPr>
              <w:t xml:space="preserve">2</w:t>
            </w:r>
          </w:p>
        </w:tc>
      </w:tr>
      <w:tr>
        <w:tc>
          <w:tcPr>
            <w:tcW w:type="dxa" w:w="1400"/>
            <w:tcBorders>
              <w:top w:val="single" w:color="999999" w:sz="4"/>
              <w:left w:val="single" w:color="999999" w:sz="4"/>
              <w:bottom w:val="single" w:color="999999" w:sz="4"/>
              <w:right w:val="single" w:color="999999" w:sz="4"/>
            </w:tcBorders>
            <w:vAlign w:val="center"/>
          </w:tcPr>
          <w:p>
            <w:pPr>
              <w:jc w:val="center"/>
            </w:pPr>
            <w:r>
              <w:rPr>
                <w:sz w:val="20"/>
                <w:szCs w:val="20"/>
              </w:rPr>
              <w:t xml:space="preserve">B</w:t>
            </w:r>
          </w:p>
        </w:tc>
        <w:tc>
          <w:tcPr>
            <w:tcW w:type="dxa" w:w="3600"/>
            <w:tcBorders>
              <w:top w:val="single" w:color="999999" w:sz="4"/>
              <w:left w:val="single" w:color="999999" w:sz="4"/>
              <w:bottom w:val="single" w:color="999999" w:sz="4"/>
              <w:right w:val="single" w:color="999999" w:sz="4"/>
            </w:tcBorders>
            <w:vAlign w:val="center"/>
          </w:tcPr>
          <w:p>
            <w:pPr>
              <w:jc w:val="center"/>
            </w:pPr>
            <w:r>
              <w:rPr>
                <w:sz w:val="20"/>
                <w:szCs w:val="20"/>
              </w:rPr>
              <w:t xml:space="preserve">Glukosa (nonelektrolit)</w:t>
            </w:r>
          </w:p>
        </w:tc>
        <w:tc>
          <w:tcPr>
            <w:tcW w:type="dxa" w:w="2400"/>
            <w:tcBorders>
              <w:top w:val="single" w:color="999999" w:sz="4"/>
              <w:left w:val="single" w:color="999999" w:sz="4"/>
              <w:bottom w:val="single" w:color="999999" w:sz="4"/>
              <w:right w:val="single" w:color="999999" w:sz="4"/>
            </w:tcBorders>
            <w:vAlign w:val="center"/>
          </w:tcPr>
          <w:p>
            <w:pPr>
              <w:jc w:val="center"/>
            </w:pPr>
            <w:r>
              <w:rPr>
                <w:sz w:val="20"/>
                <w:szCs w:val="20"/>
              </w:rPr>
              <w:t xml:space="preserve">0,20 M</w:t>
            </w:r>
          </w:p>
        </w:tc>
        <w:tc>
          <w:tcPr>
            <w:tcW w:type="dxa" w:w="2400"/>
            <w:tcBorders>
              <w:top w:val="single" w:color="999999" w:sz="4"/>
              <w:left w:val="single" w:color="999999" w:sz="4"/>
              <w:bottom w:val="single" w:color="999999" w:sz="4"/>
              <w:right w:val="single" w:color="999999" w:sz="4"/>
            </w:tcBorders>
            <w:vAlign w:val="center"/>
          </w:tcPr>
          <w:p>
            <w:pPr>
              <w:jc w:val="center"/>
            </w:pPr>
            <w:r>
              <w:rPr>
                <w:sz w:val="20"/>
                <w:szCs w:val="20"/>
              </w:rPr>
              <w:t xml:space="preserve">1</w:t>
            </w:r>
          </w:p>
        </w:tc>
      </w:tr>
    </w:tbl>
    <w:p>
      <w:pPr>
        <w:spacing w:after="120" w:before="120"/>
      </w:pPr>
      <w:r>
        <w:rPr>
          <w:i/>
          <w:iCs/>
          <w:sz w:val="22"/>
          <w:szCs w:val="22"/>
        </w:rPr>
        <w:t xml:space="preserve">(Diketahui R = 0,082 L·atm·mol⁻¹·K⁻¹)</w:t>
      </w:r>
    </w:p>
    <w:p>
      <w:pPr>
        <w:spacing w:after="120"/>
      </w:pPr>
      <w:r>
        <w:rPr>
          <w:b/>
          <w:bCs/>
          <w:i w:val="false"/>
          <w:iCs w:val="false"/>
          <w:sz w:val="22"/>
          <w:szCs w:val="22"/>
        </w:rPr>
        <w:t xml:space="preserve">Pertanyaan (Uraian Analisis Kasus – HOTS):</w:t>
      </w:r>
    </w:p>
    <w:p>
      <w:pPr>
        <w:spacing w:after="120"/>
      </w:pPr>
      <w:r>
        <w:rPr>
          <w:b w:val="false"/>
          <w:bCs w:val="false"/>
          <w:i w:val="false"/>
          <w:iCs w:val="false"/>
          <w:sz w:val="22"/>
          <w:szCs w:val="22"/>
        </w:rPr>
        <w:t xml:space="preserve">a. Hitunglah tekanan osmotik larutan A dan larutan B pada suhu 37 °C!</w:t>
      </w:r>
    </w:p>
    <w:p>
      <w:pPr>
        <w:spacing w:after="120"/>
      </w:pPr>
      <w:r>
        <w:rPr>
          <w:b w:val="false"/>
          <w:bCs w:val="false"/>
          <w:i w:val="false"/>
          <w:iCs w:val="false"/>
          <w:sz w:val="22"/>
          <w:szCs w:val="22"/>
        </w:rPr>
        <w:t xml:space="preserve">b. Bandingkan tekanan osmotik kedua larutan tersebut terhadap tekanan osmotik plasma darah (7,4 atm), lalu tentukan sifat masing-masing larutan (hipotonik, isotonik, atau hipertonik) terhadap sel darah!</w:t>
      </w:r>
    </w:p>
    <w:p>
      <w:pPr>
        <w:spacing w:after="120"/>
      </w:pPr>
      <w:r>
        <w:rPr>
          <w:b w:val="false"/>
          <w:bCs w:val="false"/>
          <w:i w:val="false"/>
          <w:iCs w:val="false"/>
          <w:sz w:val="22"/>
          <w:szCs w:val="22"/>
        </w:rPr>
        <w:t xml:space="preserve">c. Berdasarkan hasil analisismu pada poin (b), larutan manakah yang paling aman digunakan sebagai cairan infus tanpa menyebabkan sel darah mengalami krenasi (pengerutan) atau lisis (pecah)? Jelaskan alasanmu secara ilmiah.</w:t>
      </w:r>
    </w:p>
    <w:p>
      <w:pPr>
        <w:spacing w:after="80" w:before="200"/>
      </w:pPr>
      <w:r>
        <w:rPr>
          <w:b/>
          <w:bCs/>
          <w:sz w:val="22"/>
          <w:szCs w:val="22"/>
        </w:rPr>
        <w:t xml:space="preserve">Kunci Jawaban &amp; Pembahasan:</w:t>
      </w:r>
    </w:p>
    <w:p>
      <w:pPr>
        <w:spacing w:after="120"/>
      </w:pPr>
      <w:r>
        <w:rPr>
          <w:b w:val="false"/>
          <w:bCs w:val="false"/>
          <w:i w:val="false"/>
          <w:iCs w:val="false"/>
          <w:sz w:val="22"/>
          <w:szCs w:val="22"/>
        </w:rPr>
        <w:t xml:space="preserve">a. Tekanan osmotik dihitung dengan rumus π = M × i × R × T.</w:t>
      </w:r>
    </w:p>
    <w:p>
      <w:pPr>
        <w:spacing w:after="120"/>
      </w:pPr>
      <w:r>
        <w:rPr>
          <w:b w:val="false"/>
          <w:bCs w:val="false"/>
          <w:i w:val="false"/>
          <w:iCs w:val="false"/>
          <w:sz w:val="22"/>
          <w:szCs w:val="22"/>
        </w:rPr>
        <w:t xml:space="preserve">Larutan A: π = 0,10 × 2 × 0,082 × 310 = 5,08 atm</w:t>
      </w:r>
    </w:p>
    <w:p>
      <w:pPr>
        <w:spacing w:after="120"/>
      </w:pPr>
      <w:r>
        <w:rPr>
          <w:b w:val="false"/>
          <w:bCs w:val="false"/>
          <w:i w:val="false"/>
          <w:iCs w:val="false"/>
          <w:sz w:val="22"/>
          <w:szCs w:val="22"/>
        </w:rPr>
        <w:t xml:space="preserve">Larutan B: π = 0,20 × 1 × 0,082 × 310 = 5,08 atm</w:t>
      </w:r>
    </w:p>
    <w:p>
      <w:pPr>
        <w:spacing w:after="120"/>
      </w:pPr>
      <w:r>
        <w:rPr>
          <w:b w:val="false"/>
          <w:bCs w:val="false"/>
          <w:i w:val="false"/>
          <w:iCs w:val="false"/>
          <w:sz w:val="22"/>
          <w:szCs w:val="22"/>
        </w:rPr>
        <w:t xml:space="preserve">Kedua larutan memiliki tekanan osmotik yang sama karena konsentrasi partikel efektif (M × i) sama-sama 0,20 mol/L.</w:t>
      </w:r>
    </w:p>
    <w:p>
      <w:pPr>
        <w:spacing w:after="120"/>
      </w:pPr>
      <w:r>
        <w:rPr>
          <w:b w:val="false"/>
          <w:bCs w:val="false"/>
          <w:i w:val="false"/>
          <w:iCs w:val="false"/>
          <w:sz w:val="22"/>
          <w:szCs w:val="22"/>
        </w:rPr>
        <w:t xml:space="preserve">b. Karena π larutan A = π larutan B = 5,08 atm, dan nilai ini lebih kecil daripada tekanan osmotik plasma darah (7,4 atm), maka kedua larutan bersifat hipotonik terhadap plasma/sel darah.</w:t>
      </w:r>
    </w:p>
    <w:p>
      <w:pPr>
        <w:spacing w:after="120"/>
      </w:pPr>
      <w:r>
        <w:rPr>
          <w:b w:val="false"/>
          <w:bCs w:val="false"/>
          <w:i w:val="false"/>
          <w:iCs w:val="false"/>
          <w:sz w:val="22"/>
          <w:szCs w:val="22"/>
        </w:rPr>
        <w:t xml:space="preserve">c. Karena kedua larutan sama-sama hipotonik, keduanya berpotensi menyebabkan air berpindah masuk ke dalam sel darah merah sehingga sel dapat membengkak bahkan lisis (hemolisis) apabila digunakan langsung tanpa penyesuaian konsentrasi. Idealnya, cairan infus yang aman harus isotonik (π ≈ 7,4 atm) terhadap plasma darah. Dengan demikian, secara ilmiah tidak satu pun dari larutan A dan B yang sepenuhnya aman digunakan langsung sebagai cairan infus — keduanya perlu dipekatkan terlebih dahulu agar tekanan osmotiknya mendekati 7,4 atm.</w:t>
      </w:r>
    </w:p>
    <w:p>
      <w:pPr>
        <w:spacing w:after="120" w:before="300"/>
      </w:pPr>
      <w:r>
        <w:rPr>
          <w:b/>
          <w:bCs/>
          <w:sz w:val="24"/>
          <w:szCs w:val="24"/>
        </w:rPr>
        <w:t xml:space="preserve">KARTU SOAL NOMOR 2</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2200"/>
        <w:gridCol w:w="7880"/>
      </w:tblGrid>
      <w:tr>
        <w:tc>
          <w:tcPr>
            <w:tcW w:type="dxa" w:w="2200"/>
            <w:tcBorders>
              <w:top w:val="single" w:color="999999" w:sz="4"/>
              <w:left w:val="single" w:color="999999" w:sz="4"/>
              <w:bottom w:val="single" w:color="999999" w:sz="4"/>
              <w:right w:val="single" w:color="999999" w:sz="4"/>
            </w:tcBorders>
            <w:shd w:fill="F2F2F2" w:val="clear"/>
            <w:vAlign w:val="center"/>
          </w:tcPr>
          <w:p>
            <w:r>
              <w:rPr>
                <w:b/>
                <w:bCs/>
                <w:sz w:val="22"/>
                <w:szCs w:val="22"/>
              </w:rPr>
              <w:t xml:space="preserve">Tujuan Pembelajaran</w:t>
            </w:r>
          </w:p>
        </w:tc>
        <w:tc>
          <w:tcPr>
            <w:tcW w:type="dxa" w:w="7880"/>
            <w:tcBorders>
              <w:top w:val="single" w:color="999999" w:sz="4"/>
              <w:left w:val="single" w:color="999999" w:sz="4"/>
              <w:bottom w:val="single" w:color="999999" w:sz="4"/>
              <w:right w:val="single" w:color="999999" w:sz="4"/>
            </w:tcBorders>
            <w:vAlign w:val="center"/>
          </w:tcPr>
          <w:p>
            <w:r>
              <w:rPr>
                <w:sz w:val="22"/>
                <w:szCs w:val="22"/>
              </w:rPr>
              <w:t xml:space="preserve">Memprediksi jenis senyawa (elektrolit kuat, elektrolit lemah, atau non-elektrolit) berdasarkan data hasil percobaan daya hantar listrik pada fase lelehan dan larutan, serta menghubungkannya dengan jenis ikatan kimia penyusun senyawa tersebut.</w:t>
            </w:r>
          </w:p>
        </w:tc>
      </w:tr>
      <w:tr>
        <w:tc>
          <w:tcPr>
            <w:tcW w:type="dxa" w:w="2200"/>
            <w:tcBorders>
              <w:top w:val="single" w:color="999999" w:sz="4"/>
              <w:left w:val="single" w:color="999999" w:sz="4"/>
              <w:bottom w:val="single" w:color="999999" w:sz="4"/>
              <w:right w:val="single" w:color="999999" w:sz="4"/>
            </w:tcBorders>
            <w:shd w:fill="F2F2F2" w:val="clear"/>
            <w:vAlign w:val="center"/>
          </w:tcPr>
          <w:p>
            <w:r>
              <w:rPr>
                <w:b/>
                <w:bCs/>
                <w:sz w:val="22"/>
                <w:szCs w:val="22"/>
              </w:rPr>
              <w:t xml:space="preserve">Materi</w:t>
            </w:r>
          </w:p>
        </w:tc>
        <w:tc>
          <w:tcPr>
            <w:tcW w:type="dxa" w:w="7880"/>
            <w:tcBorders>
              <w:top w:val="single" w:color="999999" w:sz="4"/>
              <w:left w:val="single" w:color="999999" w:sz="4"/>
              <w:bottom w:val="single" w:color="999999" w:sz="4"/>
              <w:right w:val="single" w:color="999999" w:sz="4"/>
            </w:tcBorders>
            <w:vAlign w:val="center"/>
          </w:tcPr>
          <w:p>
            <w:r>
              <w:rPr>
                <w:sz w:val="22"/>
                <w:szCs w:val="22"/>
              </w:rPr>
              <w:t xml:space="preserve">Uji Elektrolit, Derajat Ionisasi, dan Jenis Ikatan Kimia (Fase F / Kelas XI)</w:t>
            </w:r>
          </w:p>
        </w:tc>
      </w:tr>
      <w:tr>
        <w:tc>
          <w:tcPr>
            <w:tcW w:type="dxa" w:w="2200"/>
            <w:tcBorders>
              <w:top w:val="single" w:color="999999" w:sz="4"/>
              <w:left w:val="single" w:color="999999" w:sz="4"/>
              <w:bottom w:val="single" w:color="999999" w:sz="4"/>
              <w:right w:val="single" w:color="999999" w:sz="4"/>
            </w:tcBorders>
            <w:shd w:fill="F2F2F2" w:val="clear"/>
            <w:vAlign w:val="center"/>
          </w:tcPr>
          <w:p>
            <w:r>
              <w:rPr>
                <w:b/>
                <w:bCs/>
                <w:sz w:val="22"/>
                <w:szCs w:val="22"/>
              </w:rPr>
              <w:t xml:space="preserve">Indikator Soal</w:t>
            </w:r>
          </w:p>
        </w:tc>
        <w:tc>
          <w:tcPr>
            <w:tcW w:type="dxa" w:w="7880"/>
            <w:tcBorders>
              <w:top w:val="single" w:color="999999" w:sz="4"/>
              <w:left w:val="single" w:color="999999" w:sz="4"/>
              <w:bottom w:val="single" w:color="999999" w:sz="4"/>
              <w:right w:val="single" w:color="999999" w:sz="4"/>
            </w:tcBorders>
            <w:vAlign w:val="center"/>
          </w:tcPr>
          <w:p>
            <w:r>
              <w:rPr>
                <w:sz w:val="22"/>
                <w:szCs w:val="22"/>
              </w:rPr>
              <w:t xml:space="preserve">Disajikan tabel data hasil percobaan daya hantar listrik (nyala lampu dan gelembung gas) tiga senyawa (X, Y, dan Z) pada fase lelehan dan larutan, murid dapat mengklasifikasikan kekuatan elektrolit ketiga senyawa serta menganalisis jenis ikatan kimia penyusunnya.</w:t>
            </w:r>
          </w:p>
        </w:tc>
      </w:tr>
      <w:tr>
        <w:tc>
          <w:tcPr>
            <w:tcW w:type="dxa" w:w="2200"/>
            <w:tcBorders>
              <w:top w:val="single" w:color="999999" w:sz="4"/>
              <w:left w:val="single" w:color="999999" w:sz="4"/>
              <w:bottom w:val="single" w:color="999999" w:sz="4"/>
              <w:right w:val="single" w:color="999999" w:sz="4"/>
            </w:tcBorders>
            <w:shd w:fill="F2F2F2" w:val="clear"/>
            <w:vAlign w:val="center"/>
          </w:tcPr>
          <w:p>
            <w:r>
              <w:rPr>
                <w:b/>
                <w:bCs/>
                <w:sz w:val="22"/>
                <w:szCs w:val="22"/>
              </w:rPr>
              <w:t xml:space="preserve">Level Kognitif / Bentuk Soal</w:t>
            </w:r>
          </w:p>
        </w:tc>
        <w:tc>
          <w:tcPr>
            <w:tcW w:type="dxa" w:w="7880"/>
            <w:tcBorders>
              <w:top w:val="single" w:color="999999" w:sz="4"/>
              <w:left w:val="single" w:color="999999" w:sz="4"/>
              <w:bottom w:val="single" w:color="999999" w:sz="4"/>
              <w:right w:val="single" w:color="999999" w:sz="4"/>
            </w:tcBorders>
            <w:vAlign w:val="center"/>
          </w:tcPr>
          <w:p>
            <w:r>
              <w:rPr>
                <w:sz w:val="22"/>
                <w:szCs w:val="22"/>
              </w:rPr>
              <w:t xml:space="preserve">L3 (Penalaran) / C4 / Pilihan Ganda Kompleks dan Uraian (Kombinasi)</w:t>
            </w:r>
          </w:p>
        </w:tc>
      </w:tr>
    </w:tbl>
    <w:p>
      <w:pPr>
        <w:spacing w:after="80" w:before="200"/>
      </w:pPr>
      <w:r>
        <w:rPr>
          <w:b/>
          <w:bCs/>
          <w:sz w:val="22"/>
          <w:szCs w:val="22"/>
        </w:rPr>
        <w:t xml:space="preserve">Soal 2:</w:t>
      </w:r>
    </w:p>
    <w:p>
      <w:pPr>
        <w:spacing w:after="120"/>
      </w:pPr>
      <w:r>
        <w:rPr>
          <w:b w:val="false"/>
          <w:bCs w:val="false"/>
          <w:i w:val="false"/>
          <w:iCs w:val="false"/>
          <w:sz w:val="22"/>
          <w:szCs w:val="22"/>
        </w:rPr>
        <w:t xml:space="preserve">Sekelompok siswa melakukan praktikum untuk menyelidiki jenis ikatan tiga senyawa X, Y, dan Z melalui uji daya hantar listrik pada fase lelehan dan larutan.</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1200"/>
        <w:gridCol w:w="4600"/>
        <w:gridCol w:w="4200"/>
      </w:tblGrid>
      <w:tr>
        <w:trPr>
          <w:tblHeader/>
        </w:trPr>
        <w:tc>
          <w:tcPr>
            <w:tcW w:type="dxa" w:w="1200"/>
            <w:tcBorders>
              <w:top w:val="single" w:color="999999" w:sz="4"/>
              <w:left w:val="single" w:color="999999" w:sz="4"/>
              <w:bottom w:val="single" w:color="999999" w:sz="4"/>
              <w:right w:val="single" w:color="999999" w:sz="4"/>
            </w:tcBorders>
            <w:shd w:fill="D9D9D9" w:val="clear"/>
            <w:vAlign w:val="center"/>
          </w:tcPr>
          <w:p>
            <w:pPr>
              <w:jc w:val="center"/>
            </w:pPr>
            <w:r>
              <w:rPr>
                <w:b/>
                <w:bCs/>
                <w:sz w:val="20"/>
                <w:szCs w:val="20"/>
              </w:rPr>
              <w:t xml:space="preserve">Zat</w:t>
            </w:r>
          </w:p>
        </w:tc>
        <w:tc>
          <w:tcPr>
            <w:tcW w:type="dxa" w:w="4600"/>
            <w:tcBorders>
              <w:top w:val="single" w:color="999999" w:sz="4"/>
              <w:left w:val="single" w:color="999999" w:sz="4"/>
              <w:bottom w:val="single" w:color="999999" w:sz="4"/>
              <w:right w:val="single" w:color="999999" w:sz="4"/>
            </w:tcBorders>
            <w:shd w:fill="D9D9D9" w:val="clear"/>
            <w:vAlign w:val="center"/>
          </w:tcPr>
          <w:p>
            <w:pPr>
              <w:jc w:val="center"/>
            </w:pPr>
            <w:r>
              <w:rPr>
                <w:b/>
                <w:bCs/>
                <w:sz w:val="20"/>
                <w:szCs w:val="20"/>
              </w:rPr>
              <w:t xml:space="preserve">Lelehan</w:t>
            </w:r>
          </w:p>
        </w:tc>
        <w:tc>
          <w:tcPr>
            <w:tcW w:type="dxa" w:w="4200"/>
            <w:tcBorders>
              <w:top w:val="single" w:color="999999" w:sz="4"/>
              <w:left w:val="single" w:color="999999" w:sz="4"/>
              <w:bottom w:val="single" w:color="999999" w:sz="4"/>
              <w:right w:val="single" w:color="999999" w:sz="4"/>
            </w:tcBorders>
            <w:shd w:fill="D9D9D9" w:val="clear"/>
            <w:vAlign w:val="center"/>
          </w:tcPr>
          <w:p>
            <w:pPr>
              <w:jc w:val="center"/>
            </w:pPr>
            <w:r>
              <w:rPr>
                <w:b/>
                <w:bCs/>
                <w:sz w:val="20"/>
                <w:szCs w:val="20"/>
              </w:rPr>
              <w:t xml:space="preserve">Larutan</w:t>
            </w:r>
          </w:p>
        </w:tc>
      </w:tr>
      <w:tr>
        <w:tc>
          <w:tcPr>
            <w:tcW w:type="dxa" w:w="1200"/>
            <w:tcBorders>
              <w:top w:val="single" w:color="999999" w:sz="4"/>
              <w:left w:val="single" w:color="999999" w:sz="4"/>
              <w:bottom w:val="single" w:color="999999" w:sz="4"/>
              <w:right w:val="single" w:color="999999" w:sz="4"/>
            </w:tcBorders>
            <w:vAlign w:val="center"/>
          </w:tcPr>
          <w:p>
            <w:pPr>
              <w:jc w:val="center"/>
            </w:pPr>
            <w:r>
              <w:rPr>
                <w:sz w:val="20"/>
                <w:szCs w:val="20"/>
              </w:rPr>
              <w:t xml:space="preserve">X</w:t>
            </w:r>
          </w:p>
        </w:tc>
        <w:tc>
          <w:tcPr>
            <w:tcW w:type="dxa" w:w="4600"/>
            <w:tcBorders>
              <w:top w:val="single" w:color="999999" w:sz="4"/>
              <w:left w:val="single" w:color="999999" w:sz="4"/>
              <w:bottom w:val="single" w:color="999999" w:sz="4"/>
              <w:right w:val="single" w:color="999999" w:sz="4"/>
            </w:tcBorders>
            <w:vAlign w:val="center"/>
          </w:tcPr>
          <w:p>
            <w:pPr>
              <w:jc w:val="center"/>
            </w:pPr>
            <w:r>
              <w:rPr>
                <w:sz w:val="20"/>
                <w:szCs w:val="20"/>
              </w:rPr>
              <w:t xml:space="preserve">Lampu menyala terang, banyak gelembung</w:t>
            </w:r>
          </w:p>
        </w:tc>
        <w:tc>
          <w:tcPr>
            <w:tcW w:type="dxa" w:w="4200"/>
            <w:tcBorders>
              <w:top w:val="single" w:color="999999" w:sz="4"/>
              <w:left w:val="single" w:color="999999" w:sz="4"/>
              <w:bottom w:val="single" w:color="999999" w:sz="4"/>
              <w:right w:val="single" w:color="999999" w:sz="4"/>
            </w:tcBorders>
            <w:vAlign w:val="center"/>
          </w:tcPr>
          <w:p>
            <w:pPr>
              <w:jc w:val="center"/>
            </w:pPr>
            <w:r>
              <w:rPr>
                <w:sz w:val="20"/>
                <w:szCs w:val="20"/>
              </w:rPr>
              <w:t xml:space="preserve">Lampu menyala terang, banyak gelembung</w:t>
            </w:r>
          </w:p>
        </w:tc>
      </w:tr>
      <w:tr>
        <w:tc>
          <w:tcPr>
            <w:tcW w:type="dxa" w:w="1200"/>
            <w:tcBorders>
              <w:top w:val="single" w:color="999999" w:sz="4"/>
              <w:left w:val="single" w:color="999999" w:sz="4"/>
              <w:bottom w:val="single" w:color="999999" w:sz="4"/>
              <w:right w:val="single" w:color="999999" w:sz="4"/>
            </w:tcBorders>
            <w:vAlign w:val="center"/>
          </w:tcPr>
          <w:p>
            <w:pPr>
              <w:jc w:val="center"/>
            </w:pPr>
            <w:r>
              <w:rPr>
                <w:sz w:val="20"/>
                <w:szCs w:val="20"/>
              </w:rPr>
              <w:t xml:space="preserve">Y</w:t>
            </w:r>
          </w:p>
        </w:tc>
        <w:tc>
          <w:tcPr>
            <w:tcW w:type="dxa" w:w="4600"/>
            <w:tcBorders>
              <w:top w:val="single" w:color="999999" w:sz="4"/>
              <w:left w:val="single" w:color="999999" w:sz="4"/>
              <w:bottom w:val="single" w:color="999999" w:sz="4"/>
              <w:right w:val="single" w:color="999999" w:sz="4"/>
            </w:tcBorders>
            <w:vAlign w:val="center"/>
          </w:tcPr>
          <w:p>
            <w:pPr>
              <w:jc w:val="center"/>
            </w:pPr>
            <w:r>
              <w:rPr>
                <w:sz w:val="20"/>
                <w:szCs w:val="20"/>
              </w:rPr>
              <w:t xml:space="preserve">Lampu tidak menyala, tidak ada gelembung</w:t>
            </w:r>
          </w:p>
        </w:tc>
        <w:tc>
          <w:tcPr>
            <w:tcW w:type="dxa" w:w="4200"/>
            <w:tcBorders>
              <w:top w:val="single" w:color="999999" w:sz="4"/>
              <w:left w:val="single" w:color="999999" w:sz="4"/>
              <w:bottom w:val="single" w:color="999999" w:sz="4"/>
              <w:right w:val="single" w:color="999999" w:sz="4"/>
            </w:tcBorders>
            <w:vAlign w:val="center"/>
          </w:tcPr>
          <w:p>
            <w:pPr>
              <w:jc w:val="center"/>
            </w:pPr>
            <w:r>
              <w:rPr>
                <w:sz w:val="20"/>
                <w:szCs w:val="20"/>
              </w:rPr>
              <w:t xml:space="preserve">Lampu redup, sedikit gelembung</w:t>
            </w:r>
          </w:p>
        </w:tc>
      </w:tr>
      <w:tr>
        <w:tc>
          <w:tcPr>
            <w:tcW w:type="dxa" w:w="1200"/>
            <w:tcBorders>
              <w:top w:val="single" w:color="999999" w:sz="4"/>
              <w:left w:val="single" w:color="999999" w:sz="4"/>
              <w:bottom w:val="single" w:color="999999" w:sz="4"/>
              <w:right w:val="single" w:color="999999" w:sz="4"/>
            </w:tcBorders>
            <w:vAlign w:val="center"/>
          </w:tcPr>
          <w:p>
            <w:pPr>
              <w:jc w:val="center"/>
            </w:pPr>
            <w:r>
              <w:rPr>
                <w:sz w:val="20"/>
                <w:szCs w:val="20"/>
              </w:rPr>
              <w:t xml:space="preserve">Z</w:t>
            </w:r>
          </w:p>
        </w:tc>
        <w:tc>
          <w:tcPr>
            <w:tcW w:type="dxa" w:w="4600"/>
            <w:tcBorders>
              <w:top w:val="single" w:color="999999" w:sz="4"/>
              <w:left w:val="single" w:color="999999" w:sz="4"/>
              <w:bottom w:val="single" w:color="999999" w:sz="4"/>
              <w:right w:val="single" w:color="999999" w:sz="4"/>
            </w:tcBorders>
            <w:vAlign w:val="center"/>
          </w:tcPr>
          <w:p>
            <w:pPr>
              <w:jc w:val="center"/>
            </w:pPr>
            <w:r>
              <w:rPr>
                <w:sz w:val="20"/>
                <w:szCs w:val="20"/>
              </w:rPr>
              <w:t xml:space="preserve">Lampu tidak menyala, tidak ada gelembung</w:t>
            </w:r>
          </w:p>
        </w:tc>
        <w:tc>
          <w:tcPr>
            <w:tcW w:type="dxa" w:w="4200"/>
            <w:tcBorders>
              <w:top w:val="single" w:color="999999" w:sz="4"/>
              <w:left w:val="single" w:color="999999" w:sz="4"/>
              <w:bottom w:val="single" w:color="999999" w:sz="4"/>
              <w:right w:val="single" w:color="999999" w:sz="4"/>
            </w:tcBorders>
            <w:vAlign w:val="center"/>
          </w:tcPr>
          <w:p>
            <w:pPr>
              <w:jc w:val="center"/>
            </w:pPr>
            <w:r>
              <w:rPr>
                <w:sz w:val="20"/>
                <w:szCs w:val="20"/>
              </w:rPr>
              <w:t xml:space="preserve">Lampu tidak menyala, tidak ada gelembung</w:t>
            </w:r>
          </w:p>
        </w:tc>
      </w:tr>
    </w:tbl>
    <w:p>
      <w:pPr>
        <w:spacing w:after="120"/>
      </w:pPr>
      <w:r>
        <w:rPr>
          <w:b/>
          <w:bCs/>
          <w:i w:val="false"/>
          <w:iCs w:val="false"/>
          <w:sz w:val="22"/>
          <w:szCs w:val="22"/>
        </w:rPr>
        <w:t xml:space="preserve">Bagian 1 (Pilihan Ganda Kompleks):</w:t>
      </w:r>
    </w:p>
    <w:p>
      <w:pPr>
        <w:spacing w:after="120"/>
      </w:pPr>
      <w:r>
        <w:rPr>
          <w:b w:val="false"/>
          <w:bCs w:val="false"/>
          <w:i w:val="false"/>
          <w:iCs w:val="false"/>
          <w:sz w:val="22"/>
          <w:szCs w:val="22"/>
        </w:rPr>
        <w:t xml:space="preserve">Berdasarkan data hasil pengamatan tersebut, pasangan jenis zat yang paling tepat adalah ....</w:t>
      </w:r>
    </w:p>
    <w:p>
      <w:pPr>
        <w:spacing w:after="120"/>
      </w:pPr>
      <w:r>
        <w:rPr>
          <w:b w:val="false"/>
          <w:bCs w:val="false"/>
          <w:i w:val="false"/>
          <w:iCs w:val="false"/>
          <w:sz w:val="22"/>
          <w:szCs w:val="22"/>
        </w:rPr>
        <w:t xml:space="preserve">A. X elektrolit kuat, Y elektrolit lemah, Z non-elektrolit.</w:t>
      </w:r>
    </w:p>
    <w:p>
      <w:pPr>
        <w:spacing w:after="120"/>
      </w:pPr>
      <w:r>
        <w:rPr>
          <w:b w:val="false"/>
          <w:bCs w:val="false"/>
          <w:i w:val="false"/>
          <w:iCs w:val="false"/>
          <w:sz w:val="22"/>
          <w:szCs w:val="22"/>
        </w:rPr>
        <w:t xml:space="preserve">B. X non-elektrolit, Y elektrolit kuat, Z elektrolit lemah.</w:t>
      </w:r>
    </w:p>
    <w:p>
      <w:pPr>
        <w:spacing w:after="120"/>
      </w:pPr>
      <w:r>
        <w:rPr>
          <w:b w:val="false"/>
          <w:bCs w:val="false"/>
          <w:i w:val="false"/>
          <w:iCs w:val="false"/>
          <w:sz w:val="22"/>
          <w:szCs w:val="22"/>
        </w:rPr>
        <w:t xml:space="preserve">C. X elektrolit lemah, Y non-elektrolit, Z elektrolit kuat.</w:t>
      </w:r>
    </w:p>
    <w:p>
      <w:pPr>
        <w:spacing w:after="120"/>
      </w:pPr>
      <w:r>
        <w:rPr>
          <w:b w:val="false"/>
          <w:bCs w:val="false"/>
          <w:i w:val="false"/>
          <w:iCs w:val="false"/>
          <w:sz w:val="22"/>
          <w:szCs w:val="22"/>
        </w:rPr>
        <w:t xml:space="preserve">D. X elektrolit kuat, Y non-elektrolit, Z elektrolit lemah.</w:t>
      </w:r>
    </w:p>
    <w:p>
      <w:pPr>
        <w:spacing w:after="120"/>
      </w:pPr>
      <w:r>
        <w:rPr>
          <w:b w:val="false"/>
          <w:bCs w:val="false"/>
          <w:i w:val="false"/>
          <w:iCs w:val="false"/>
          <w:sz w:val="22"/>
          <w:szCs w:val="22"/>
        </w:rPr>
        <w:t xml:space="preserve">E. X elektrolit lemah, Y elektrolit kuat, Z non-elektrolit.</w:t>
      </w:r>
    </w:p>
    <w:p>
      <w:pPr>
        <w:spacing w:after="120"/>
      </w:pPr>
      <w:r>
        <w:rPr>
          <w:b/>
          <w:bCs/>
          <w:i w:val="false"/>
          <w:iCs w:val="false"/>
          <w:sz w:val="22"/>
          <w:szCs w:val="22"/>
        </w:rPr>
        <w:t xml:space="preserve">Bagian 2 (Uraian Analisis – HOTS):</w:t>
      </w:r>
    </w:p>
    <w:p>
      <w:pPr>
        <w:spacing w:after="120"/>
      </w:pPr>
      <w:r>
        <w:rPr>
          <w:b w:val="false"/>
          <w:bCs w:val="false"/>
          <w:i w:val="false"/>
          <w:iCs w:val="false"/>
          <w:sz w:val="22"/>
          <w:szCs w:val="22"/>
        </w:rPr>
        <w:t xml:space="preserve">Berdasarkan data pada tabel, analisislah kemungkinan jenis ikatan yang dimiliki oleh zat X, Y, dan Z (ionik, kovalen polar, atau kovalen nonpolar). Kaitkan jawabanmu dengan ada tidaknya ion bebas pada fase lelehan maupun larutan, serta jelaskan mengapa perbedaan kekuatan daya hantar listrik antara fase lelehan dan larutan dapat terjadi pada zat Y.</w:t>
      </w:r>
    </w:p>
    <w:p>
      <w:pPr>
        <w:spacing w:after="80" w:before="200"/>
      </w:pPr>
      <w:r>
        <w:rPr>
          <w:b/>
          <w:bCs/>
          <w:sz w:val="22"/>
          <w:szCs w:val="22"/>
        </w:rPr>
        <w:t xml:space="preserve">Kunci Jawaban &amp; Pembahasan:</w:t>
      </w:r>
    </w:p>
    <w:p>
      <w:pPr>
        <w:spacing w:after="120"/>
      </w:pPr>
      <w:r>
        <w:rPr>
          <w:b w:val="false"/>
          <w:bCs w:val="false"/>
          <w:i w:val="false"/>
          <w:iCs w:val="false"/>
          <w:sz w:val="22"/>
          <w:szCs w:val="22"/>
        </w:rPr>
        <w:t xml:space="preserve">Bagian 1: A</w:t>
      </w:r>
    </w:p>
    <w:p>
      <w:pPr>
        <w:spacing w:after="120"/>
      </w:pPr>
      <w:r>
        <w:rPr>
          <w:b w:val="false"/>
          <w:bCs w:val="false"/>
          <w:i w:val="false"/>
          <w:iCs w:val="false"/>
          <w:sz w:val="22"/>
          <w:szCs w:val="22"/>
        </w:rPr>
        <w:t xml:space="preserve">X menghantarkan listrik dengan kuat baik pada fase lelehan maupun larutan → banyak ion bebas pada kedua fase → elektrolit kuat. Y tidak menghantarkan pada lelehan namun menghantarkan lemah pada larutan → hanya sedikit ion bebas dan hanya muncul saat dilarutkan → elektrolit lemah. Z tidak menghantarkan pada kedua fase → tidak ada ion bebas sama sekali → non-elektrolit. Jawaban yang sesuai adalah opsi A.</w:t>
      </w:r>
    </w:p>
    <w:p>
      <w:pPr>
        <w:spacing w:after="120"/>
      </w:pPr>
      <w:r>
        <w:rPr>
          <w:b w:val="false"/>
          <w:bCs w:val="false"/>
          <w:i w:val="false"/>
          <w:iCs w:val="false"/>
          <w:sz w:val="22"/>
          <w:szCs w:val="22"/>
        </w:rPr>
        <w:t xml:space="preserve">Bagian 2: X merupakan senyawa ionik. Kisi kristal ionnya mengandung ion-ion yang terikat kuat pada kondisi padat, tetapi begitu meleleh atau dilarutkan, ion-ion tersebut menjadi bebas bergerak sehingga menghantarkan listrik pada kedua fase. Y merupakan senyawa kovalen polar. Dalam bentuk lelehan murni, Y berupa molekul netral yang tidak terionisasi sehingga tidak menghantarkan listrik; namun saat dilarutkan dalam air, molekul Y terhidrasi dan terionisasi sebagian (menghasilkan sedikit ion bebas), sehingga larutannya bersifat elektrolit lemah — inilah sebabnya daya hantar Y berbeda antara fase lelehan dan larutan. Z merupakan senyawa kovalen nonpolar yang tidak menghasilkan ion bebas pada kondisi wujud apa pun, sehingga bersifat non-elektrolit baik dalam lelehan maupun larutan.</w:t>
      </w:r>
    </w:p>
    <w:p>
      <w:pPr>
        <w:spacing w:after="120" w:before="300"/>
      </w:pPr>
      <w:r>
        <w:rPr>
          <w:b/>
          <w:bCs/>
          <w:sz w:val="24"/>
          <w:szCs w:val="24"/>
        </w:rPr>
        <w:t xml:space="preserve">KARTU SOAL NOMOR 3</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2200"/>
        <w:gridCol w:w="7880"/>
      </w:tblGrid>
      <w:tr>
        <w:tc>
          <w:tcPr>
            <w:tcW w:type="dxa" w:w="2200"/>
            <w:tcBorders>
              <w:top w:val="single" w:color="999999" w:sz="4"/>
              <w:left w:val="single" w:color="999999" w:sz="4"/>
              <w:bottom w:val="single" w:color="999999" w:sz="4"/>
              <w:right w:val="single" w:color="999999" w:sz="4"/>
            </w:tcBorders>
            <w:shd w:fill="F2F2F2" w:val="clear"/>
            <w:vAlign w:val="center"/>
          </w:tcPr>
          <w:p>
            <w:r>
              <w:rPr>
                <w:b/>
                <w:bCs/>
                <w:sz w:val="22"/>
                <w:szCs w:val="22"/>
              </w:rPr>
              <w:t xml:space="preserve">Tujuan Pembelajaran</w:t>
            </w:r>
          </w:p>
        </w:tc>
        <w:tc>
          <w:tcPr>
            <w:tcW w:type="dxa" w:w="7880"/>
            <w:tcBorders>
              <w:top w:val="single" w:color="999999" w:sz="4"/>
              <w:left w:val="single" w:color="999999" w:sz="4"/>
              <w:bottom w:val="single" w:color="999999" w:sz="4"/>
              <w:right w:val="single" w:color="999999" w:sz="4"/>
            </w:tcBorders>
            <w:vAlign w:val="center"/>
          </w:tcPr>
          <w:p>
            <w:r>
              <w:rPr>
                <w:sz w:val="22"/>
                <w:szCs w:val="22"/>
              </w:rPr>
              <w:t xml:space="preserve">Menganalisis fenomena makroskopis (perubahan warna, gas, endapan) pada skema elektrolisis larutan senyawa logam untuk menentukan reaksi di katode dan anode, serta menghitung massa produk elektrolisis menggunakan hukum Faraday.</w:t>
            </w:r>
          </w:p>
        </w:tc>
      </w:tr>
      <w:tr>
        <w:tc>
          <w:tcPr>
            <w:tcW w:type="dxa" w:w="2200"/>
            <w:tcBorders>
              <w:top w:val="single" w:color="999999" w:sz="4"/>
              <w:left w:val="single" w:color="999999" w:sz="4"/>
              <w:bottom w:val="single" w:color="999999" w:sz="4"/>
              <w:right w:val="single" w:color="999999" w:sz="4"/>
            </w:tcBorders>
            <w:shd w:fill="F2F2F2" w:val="clear"/>
            <w:vAlign w:val="center"/>
          </w:tcPr>
          <w:p>
            <w:r>
              <w:rPr>
                <w:b/>
                <w:bCs/>
                <w:sz w:val="22"/>
                <w:szCs w:val="22"/>
              </w:rPr>
              <w:t xml:space="preserve">Materi</w:t>
            </w:r>
          </w:p>
        </w:tc>
        <w:tc>
          <w:tcPr>
            <w:tcW w:type="dxa" w:w="7880"/>
            <w:tcBorders>
              <w:top w:val="single" w:color="999999" w:sz="4"/>
              <w:left w:val="single" w:color="999999" w:sz="4"/>
              <w:bottom w:val="single" w:color="999999" w:sz="4"/>
              <w:right w:val="single" w:color="999999" w:sz="4"/>
            </w:tcBorders>
            <w:vAlign w:val="center"/>
          </w:tcPr>
          <w:p>
            <w:r>
              <w:rPr>
                <w:sz w:val="22"/>
                <w:szCs w:val="22"/>
              </w:rPr>
              <w:t xml:space="preserve">Elektrolisis Larutan dan Hukum Faraday (Fase F / Kelas XII)</w:t>
            </w:r>
          </w:p>
        </w:tc>
      </w:tr>
      <w:tr>
        <w:tc>
          <w:tcPr>
            <w:tcW w:type="dxa" w:w="2200"/>
            <w:tcBorders>
              <w:top w:val="single" w:color="999999" w:sz="4"/>
              <w:left w:val="single" w:color="999999" w:sz="4"/>
              <w:bottom w:val="single" w:color="999999" w:sz="4"/>
              <w:right w:val="single" w:color="999999" w:sz="4"/>
            </w:tcBorders>
            <w:shd w:fill="F2F2F2" w:val="clear"/>
            <w:vAlign w:val="center"/>
          </w:tcPr>
          <w:p>
            <w:r>
              <w:rPr>
                <w:b/>
                <w:bCs/>
                <w:sz w:val="22"/>
                <w:szCs w:val="22"/>
              </w:rPr>
              <w:t xml:space="preserve">Indikator Soal</w:t>
            </w:r>
          </w:p>
        </w:tc>
        <w:tc>
          <w:tcPr>
            <w:tcW w:type="dxa" w:w="7880"/>
            <w:tcBorders>
              <w:top w:val="single" w:color="999999" w:sz="4"/>
              <w:left w:val="single" w:color="999999" w:sz="4"/>
              <w:bottom w:val="single" w:color="999999" w:sz="4"/>
              <w:right w:val="single" w:color="999999" w:sz="4"/>
            </w:tcBorders>
            <w:vAlign w:val="center"/>
          </w:tcPr>
          <w:p>
            <w:r>
              <w:rPr>
                <w:sz w:val="22"/>
                <w:szCs w:val="22"/>
              </w:rPr>
              <w:t xml:space="preserve">Disajikan data hasil pengamatan elektrolisis larutan CuSO4 menggunakan elektrode Pt (inert) beserta data kuat arus dan waktu, murid dapat menentukan reaksi di katode dan anode, menghitung massa endapan logam menggunakan hukum Faraday, dan menjelaskan perubahan warna larutan yang teramati.</w:t>
            </w:r>
          </w:p>
        </w:tc>
      </w:tr>
      <w:tr>
        <w:tc>
          <w:tcPr>
            <w:tcW w:type="dxa" w:w="2200"/>
            <w:tcBorders>
              <w:top w:val="single" w:color="999999" w:sz="4"/>
              <w:left w:val="single" w:color="999999" w:sz="4"/>
              <w:bottom w:val="single" w:color="999999" w:sz="4"/>
              <w:right w:val="single" w:color="999999" w:sz="4"/>
            </w:tcBorders>
            <w:shd w:fill="F2F2F2" w:val="clear"/>
            <w:vAlign w:val="center"/>
          </w:tcPr>
          <w:p>
            <w:r>
              <w:rPr>
                <w:b/>
                <w:bCs/>
                <w:sz w:val="22"/>
                <w:szCs w:val="22"/>
              </w:rPr>
              <w:t xml:space="preserve">Level Kognitif / Bentuk Soal</w:t>
            </w:r>
          </w:p>
        </w:tc>
        <w:tc>
          <w:tcPr>
            <w:tcW w:type="dxa" w:w="7880"/>
            <w:tcBorders>
              <w:top w:val="single" w:color="999999" w:sz="4"/>
              <w:left w:val="single" w:color="999999" w:sz="4"/>
              <w:bottom w:val="single" w:color="999999" w:sz="4"/>
              <w:right w:val="single" w:color="999999" w:sz="4"/>
            </w:tcBorders>
            <w:vAlign w:val="center"/>
          </w:tcPr>
          <w:p>
            <w:r>
              <w:rPr>
                <w:sz w:val="22"/>
                <w:szCs w:val="22"/>
              </w:rPr>
              <w:t xml:space="preserve">L3 (Penalaran) / C4–C5 / Uraian Analisis dan Hitungan (HOTS)</w:t>
            </w:r>
          </w:p>
        </w:tc>
      </w:tr>
    </w:tbl>
    <w:p>
      <w:pPr>
        <w:spacing w:after="80" w:before="200"/>
      </w:pPr>
      <w:r>
        <w:rPr>
          <w:b/>
          <w:bCs/>
          <w:sz w:val="22"/>
          <w:szCs w:val="22"/>
        </w:rPr>
        <w:t xml:space="preserve">Soal 3:</w:t>
      </w:r>
    </w:p>
    <w:p>
      <w:pPr>
        <w:spacing w:after="120"/>
      </w:pPr>
      <w:r>
        <w:rPr>
          <w:b w:val="false"/>
          <w:bCs w:val="false"/>
          <w:i w:val="false"/>
          <w:iCs w:val="false"/>
          <w:sz w:val="22"/>
          <w:szCs w:val="22"/>
        </w:rPr>
        <w:t xml:space="preserve">Seorang siswa merangkai alat elektrolisis: sebuah sumber arus searah dihubungkan dengan dua elektrode platina (Pt) yang inert, lalu dicelupkan ke dalam larutan CuSO4 0,5 M dalam sebuah wadah. Rangkaian dialiri arus listrik sebesar 2 ampere selama 965 detik. Selama proses berlangsung, siswa mencatat data pengamatan berikut.</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2600"/>
        <w:gridCol w:w="7400"/>
      </w:tblGrid>
      <w:tr>
        <w:trPr>
          <w:tblHeader/>
        </w:trPr>
        <w:tc>
          <w:tcPr>
            <w:tcW w:type="dxa" w:w="2600"/>
            <w:tcBorders>
              <w:top w:val="single" w:color="999999" w:sz="4"/>
              <w:left w:val="single" w:color="999999" w:sz="4"/>
              <w:bottom w:val="single" w:color="999999" w:sz="4"/>
              <w:right w:val="single" w:color="999999" w:sz="4"/>
            </w:tcBorders>
            <w:shd w:fill="D9D9D9" w:val="clear"/>
            <w:vAlign w:val="center"/>
          </w:tcPr>
          <w:p>
            <w:pPr>
              <w:jc w:val="center"/>
            </w:pPr>
            <w:r>
              <w:rPr>
                <w:b/>
                <w:bCs/>
                <w:sz w:val="20"/>
                <w:szCs w:val="20"/>
              </w:rPr>
              <w:t xml:space="preserve">Elektrode / Larutan</w:t>
            </w:r>
          </w:p>
        </w:tc>
        <w:tc>
          <w:tcPr>
            <w:tcW w:type="dxa" w:w="7400"/>
            <w:tcBorders>
              <w:top w:val="single" w:color="999999" w:sz="4"/>
              <w:left w:val="single" w:color="999999" w:sz="4"/>
              <w:bottom w:val="single" w:color="999999" w:sz="4"/>
              <w:right w:val="single" w:color="999999" w:sz="4"/>
            </w:tcBorders>
            <w:shd w:fill="D9D9D9" w:val="clear"/>
            <w:vAlign w:val="center"/>
          </w:tcPr>
          <w:p>
            <w:pPr>
              <w:jc w:val="center"/>
            </w:pPr>
            <w:r>
              <w:rPr>
                <w:b/>
                <w:bCs/>
                <w:sz w:val="20"/>
                <w:szCs w:val="20"/>
              </w:rPr>
              <w:t xml:space="preserve">Hasil Pengamatan</w:t>
            </w:r>
          </w:p>
        </w:tc>
      </w:tr>
      <w:tr>
        <w:tc>
          <w:tcPr>
            <w:tcW w:type="dxa" w:w="2600"/>
            <w:tcBorders>
              <w:top w:val="single" w:color="999999" w:sz="4"/>
              <w:left w:val="single" w:color="999999" w:sz="4"/>
              <w:bottom w:val="single" w:color="999999" w:sz="4"/>
              <w:right w:val="single" w:color="999999" w:sz="4"/>
            </w:tcBorders>
            <w:vAlign w:val="center"/>
          </w:tcPr>
          <w:p>
            <w:pPr>
              <w:jc w:val="center"/>
            </w:pPr>
            <w:r>
              <w:rPr>
                <w:sz w:val="20"/>
                <w:szCs w:val="20"/>
              </w:rPr>
              <w:t xml:space="preserve">Elektrode 1</w:t>
            </w:r>
          </w:p>
        </w:tc>
        <w:tc>
          <w:tcPr>
            <w:tcW w:type="dxa" w:w="7400"/>
            <w:tcBorders>
              <w:top w:val="single" w:color="999999" w:sz="4"/>
              <w:left w:val="single" w:color="999999" w:sz="4"/>
              <w:bottom w:val="single" w:color="999999" w:sz="4"/>
              <w:right w:val="single" w:color="999999" w:sz="4"/>
            </w:tcBorders>
            <w:vAlign w:val="center"/>
          </w:tcPr>
          <w:p>
            <w:pPr>
              <w:jc w:val="center"/>
            </w:pPr>
            <w:r>
              <w:rPr>
                <w:sz w:val="20"/>
                <w:szCs w:val="20"/>
              </w:rPr>
              <w:t xml:space="preserve">Terbentuk lapisan logam berwarna kemerahan (endapan) menempel pada elektrode</w:t>
            </w:r>
          </w:p>
        </w:tc>
      </w:tr>
      <w:tr>
        <w:tc>
          <w:tcPr>
            <w:tcW w:type="dxa" w:w="2600"/>
            <w:tcBorders>
              <w:top w:val="single" w:color="999999" w:sz="4"/>
              <w:left w:val="single" w:color="999999" w:sz="4"/>
              <w:bottom w:val="single" w:color="999999" w:sz="4"/>
              <w:right w:val="single" w:color="999999" w:sz="4"/>
            </w:tcBorders>
            <w:vAlign w:val="center"/>
          </w:tcPr>
          <w:p>
            <w:pPr>
              <w:jc w:val="center"/>
            </w:pPr>
            <w:r>
              <w:rPr>
                <w:sz w:val="20"/>
                <w:szCs w:val="20"/>
              </w:rPr>
              <w:t xml:space="preserve">Elektrode 2</w:t>
            </w:r>
          </w:p>
        </w:tc>
        <w:tc>
          <w:tcPr>
            <w:tcW w:type="dxa" w:w="7400"/>
            <w:tcBorders>
              <w:top w:val="single" w:color="999999" w:sz="4"/>
              <w:left w:val="single" w:color="999999" w:sz="4"/>
              <w:bottom w:val="single" w:color="999999" w:sz="4"/>
              <w:right w:val="single" w:color="999999" w:sz="4"/>
            </w:tcBorders>
            <w:vAlign w:val="center"/>
          </w:tcPr>
          <w:p>
            <w:pPr>
              <w:jc w:val="center"/>
            </w:pPr>
            <w:r>
              <w:rPr>
                <w:sz w:val="20"/>
                <w:szCs w:val="20"/>
              </w:rPr>
              <w:t xml:space="preserve">Muncul gelembung gas tidak berwarna</w:t>
            </w:r>
          </w:p>
        </w:tc>
      </w:tr>
      <w:tr>
        <w:tc>
          <w:tcPr>
            <w:tcW w:type="dxa" w:w="2600"/>
            <w:tcBorders>
              <w:top w:val="single" w:color="999999" w:sz="4"/>
              <w:left w:val="single" w:color="999999" w:sz="4"/>
              <w:bottom w:val="single" w:color="999999" w:sz="4"/>
              <w:right w:val="single" w:color="999999" w:sz="4"/>
            </w:tcBorders>
            <w:vAlign w:val="center"/>
          </w:tcPr>
          <w:p>
            <w:pPr>
              <w:jc w:val="center"/>
            </w:pPr>
            <w:r>
              <w:rPr>
                <w:sz w:val="20"/>
                <w:szCs w:val="20"/>
              </w:rPr>
              <w:t xml:space="preserve">Larutan</w:t>
            </w:r>
          </w:p>
        </w:tc>
        <w:tc>
          <w:tcPr>
            <w:tcW w:type="dxa" w:w="7400"/>
            <w:tcBorders>
              <w:top w:val="single" w:color="999999" w:sz="4"/>
              <w:left w:val="single" w:color="999999" w:sz="4"/>
              <w:bottom w:val="single" w:color="999999" w:sz="4"/>
              <w:right w:val="single" w:color="999999" w:sz="4"/>
            </w:tcBorders>
            <w:vAlign w:val="center"/>
          </w:tcPr>
          <w:p>
            <w:pPr>
              <w:jc w:val="center"/>
            </w:pPr>
            <w:r>
              <w:rPr>
                <w:sz w:val="20"/>
                <w:szCs w:val="20"/>
              </w:rPr>
              <w:t xml:space="preserve">Warna biru larutan semakin pudar seiring berjalannya waktu</w:t>
            </w:r>
          </w:p>
        </w:tc>
      </w:tr>
    </w:tbl>
    <w:p>
      <w:pPr>
        <w:spacing w:after="120" w:before="120"/>
      </w:pPr>
      <w:r>
        <w:rPr>
          <w:i/>
          <w:iCs/>
          <w:sz w:val="22"/>
          <w:szCs w:val="22"/>
        </w:rPr>
        <w:t xml:space="preserve">(Ar Cu = 63,5 g/mol; 1 F = 96.500 C/mol)</w:t>
      </w:r>
    </w:p>
    <w:p>
      <w:pPr>
        <w:spacing w:after="120"/>
      </w:pPr>
      <w:r>
        <w:rPr>
          <w:b/>
          <w:bCs/>
          <w:i w:val="false"/>
          <w:iCs w:val="false"/>
          <w:sz w:val="22"/>
          <w:szCs w:val="22"/>
        </w:rPr>
        <w:t xml:space="preserve">Pertanyaan (Uraian Analisis – HOTS):</w:t>
      </w:r>
    </w:p>
    <w:p>
      <w:pPr>
        <w:spacing w:after="120"/>
      </w:pPr>
      <w:r>
        <w:rPr>
          <w:b w:val="false"/>
          <w:bCs w:val="false"/>
          <w:i w:val="false"/>
          <w:iCs w:val="false"/>
          <w:sz w:val="22"/>
          <w:szCs w:val="22"/>
        </w:rPr>
        <w:t xml:space="preserve">a. Berdasarkan data pengamatan, tentukan reaksi yang terjadi di katode dan di anode. Jelaskan alasan penentuanmu dikaitkan dengan sifat inert elektrode Pt dan spesi-spesi yang terdapat dalam larutan CuSO4.</w:t>
      </w:r>
    </w:p>
    <w:p>
      <w:pPr>
        <w:spacing w:after="120"/>
      </w:pPr>
      <w:r>
        <w:rPr>
          <w:b w:val="false"/>
          <w:bCs w:val="false"/>
          <w:i w:val="false"/>
          <w:iCs w:val="false"/>
          <w:sz w:val="22"/>
          <w:szCs w:val="22"/>
        </w:rPr>
        <w:t xml:space="preserve">b. Hitunglah massa endapan logam yang terbentuk pada elektrode berdasarkan data arus dan waktu elektrolisis di atas, menggunakan hukum Faraday!</w:t>
      </w:r>
    </w:p>
    <w:p>
      <w:pPr>
        <w:spacing w:after="120"/>
      </w:pPr>
      <w:r>
        <w:rPr>
          <w:b w:val="false"/>
          <w:bCs w:val="false"/>
          <w:i w:val="false"/>
          <w:iCs w:val="false"/>
          <w:sz w:val="22"/>
          <w:szCs w:val="22"/>
        </w:rPr>
        <w:t xml:space="preserve">c. Jelaskan mengapa warna biru larutan CuSO4 semakin pudar selama proses elektrolisis berlangsung, dikaitkan dengan perubahan konsentrasi ion Cu²⁺ dalam larutan.</w:t>
      </w:r>
    </w:p>
    <w:p>
      <w:pPr>
        <w:spacing w:after="80" w:before="200"/>
      </w:pPr>
      <w:r>
        <w:rPr>
          <w:b/>
          <w:bCs/>
          <w:sz w:val="22"/>
          <w:szCs w:val="22"/>
        </w:rPr>
        <w:t xml:space="preserve">Kunci Jawaban &amp; Pembahasan:</w:t>
      </w:r>
    </w:p>
    <w:p>
      <w:pPr>
        <w:spacing w:after="120"/>
      </w:pPr>
      <w:r>
        <w:rPr>
          <w:b w:val="false"/>
          <w:bCs w:val="false"/>
          <w:i w:val="false"/>
          <w:iCs w:val="false"/>
          <w:sz w:val="22"/>
          <w:szCs w:val="22"/>
        </w:rPr>
        <w:t xml:space="preserve">a. Katode (reduksi): Cu²⁺(aq) + 2e⁻ → Cu(s). Ion Cu²⁺ lebih mudah tereduksi dibandingkan air (posisinya dalam deret potensial reduksi lebih positif), sehingga logam Cu mengendap sebagai lapisan kemerahan pada Elektrode 1, sesuai data pengamatan.</w:t>
      </w:r>
    </w:p>
    <w:p>
      <w:pPr>
        <w:spacing w:after="120"/>
      </w:pPr>
      <w:r>
        <w:rPr>
          <w:b w:val="false"/>
          <w:bCs w:val="false"/>
          <w:i w:val="false"/>
          <w:iCs w:val="false"/>
          <w:sz w:val="22"/>
          <w:szCs w:val="22"/>
        </w:rPr>
        <w:t xml:space="preserve">Anode (oksidasi): karena elektrode Pt bersifat inert dan ion SO4²⁻ sulit dioksidasi, maka yang teroksidasi adalah air: 2H2O(l) → O2(g) + 4H⁺(aq) + 4e⁻. Hal ini sesuai dengan munculnya gelembung gas tidak berwarna pada Elektrode 2.</w:t>
      </w:r>
    </w:p>
    <w:p>
      <w:pPr>
        <w:spacing w:after="120"/>
      </w:pPr>
      <w:r>
        <w:rPr>
          <w:b w:val="false"/>
          <w:bCs w:val="false"/>
          <w:i w:val="false"/>
          <w:iCs w:val="false"/>
          <w:sz w:val="22"/>
          <w:szCs w:val="22"/>
        </w:rPr>
        <w:t xml:space="preserve">b. Q = I × t = 2 A × 965 s = 1.930 C</w:t>
      </w:r>
    </w:p>
    <w:p>
      <w:pPr>
        <w:spacing w:after="120"/>
      </w:pPr>
      <w:r>
        <w:rPr>
          <w:b w:val="false"/>
          <w:bCs w:val="false"/>
          <w:i w:val="false"/>
          <w:iCs w:val="false"/>
          <w:sz w:val="22"/>
          <w:szCs w:val="22"/>
        </w:rPr>
        <w:t xml:space="preserve">n(elektron) = Q / F = 1.930 / 96.500 = 0,02 mol</w:t>
      </w:r>
    </w:p>
    <w:p>
      <w:pPr>
        <w:spacing w:after="120"/>
      </w:pPr>
      <w:r>
        <w:rPr>
          <w:b w:val="false"/>
          <w:bCs w:val="false"/>
          <w:i w:val="false"/>
          <w:iCs w:val="false"/>
          <w:sz w:val="22"/>
          <w:szCs w:val="22"/>
        </w:rPr>
        <w:t xml:space="preserve">n(Cu) = n(elektron) / 2 = 0,01 mol (karena Cu²⁺ + 2e⁻ → Cu)</w:t>
      </w:r>
    </w:p>
    <w:p>
      <w:pPr>
        <w:spacing w:after="120"/>
      </w:pPr>
      <w:r>
        <w:rPr>
          <w:b w:val="false"/>
          <w:bCs w:val="false"/>
          <w:i w:val="false"/>
          <w:iCs w:val="false"/>
          <w:sz w:val="22"/>
          <w:szCs w:val="22"/>
        </w:rPr>
        <w:t xml:space="preserve">massa Cu = n × Ar = 0,01 mol × 63,5 g/mol = 0,635 gram</w:t>
      </w:r>
    </w:p>
    <w:p>
      <w:pPr>
        <w:spacing w:after="120"/>
      </w:pPr>
      <w:r>
        <w:rPr>
          <w:b w:val="false"/>
          <w:bCs w:val="false"/>
          <w:i w:val="false"/>
          <w:iCs w:val="false"/>
          <w:sz w:val="22"/>
          <w:szCs w:val="22"/>
        </w:rPr>
        <w:t xml:space="preserve">c. Warna biru larutan CuSO4 berasal dari ion Cu²⁺ yang terhidrasi dalam air. Selama elektrolisis berlangsung, ion Cu²⁺ terus-menerus direduksi menjadi logam Cu padat di katode, sehingga konsentrasi ion Cu²⁺ dalam larutan berkurang seiring waktu. Berkurangnya konsentrasi Cu²⁺ inilah yang menyebabkan warna biru larutan semakin pudar.</w:t>
      </w:r>
    </w:p>
    <w:sectPr>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2026-07-31T04:23:09.542Z</dcterms:created>
  <dcterms:modified xsi:type="dcterms:W3CDTF">2026-07-31T04:23:09.554Z</dcterms:modified>
</cp:coreProperties>
</file>

<file path=docProps/custom.xml><?xml version="1.0" encoding="utf-8"?>
<Properties xmlns="http://schemas.openxmlformats.org/officeDocument/2006/custom-properties" xmlns:vt="http://schemas.openxmlformats.org/officeDocument/2006/docPropsVTypes"/>
</file>