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pPr>
    </w:p>
    <w:p>
      <w:pPr>
        <w:jc w:val="center"/>
      </w:pPr>
      <w:r>
        <w:rPr>
          <w:b/>
          <w:bCs/>
          <w:color w:val="1F6F6F"/>
          <w:sz w:val="26"/>
          <w:szCs w:val="26"/>
        </w:rPr>
        <w:t xml:space="preserve">MATERI SEMINAR</w:t>
      </w:r>
    </w:p>
    <w:p>
      <w:pPr>
        <w:spacing w:after="200" w:before="200"/>
        <w:jc w:val="center"/>
      </w:pPr>
      <w:r>
        <w:rPr>
          <w:b/>
          <w:bCs/>
          <w:color w:val="1F3864"/>
          <w:sz w:val="48"/>
          <w:szCs w:val="48"/>
        </w:rPr>
        <w:t xml:space="preserve">DESAIN PEMBELAJARAN KEPERAWATAN</w:t>
      </w:r>
    </w:p>
    <w:p>
      <w:pPr>
        <w:spacing w:after="400"/>
        <w:jc w:val="center"/>
      </w:pPr>
      <w:r>
        <w:rPr>
          <w:b/>
          <w:bCs/>
          <w:color w:val="1F6F6F"/>
          <w:sz w:val="36"/>
          <w:szCs w:val="36"/>
        </w:rPr>
        <w:t xml:space="preserve">Berbasis Problem-Based Learning (PBL)</w:t>
      </w:r>
    </w:p>
    <w:p>
      <w:pPr>
        <w:pBdr>
          <w:top w:val="single" w:color="1F6F6F" w:sz="6" w:space="10"/>
        </w:pBdr>
        <w:spacing w:before="200"/>
        <w:jc w:val="center"/>
      </w:pPr>
    </w:p>
    <w:p>
      <w:pPr>
        <w:spacing w:before="600"/>
        <w:jc w:val="center"/>
      </w:pPr>
      <w:r>
        <w:rPr>
          <w:color w:val="595959"/>
          <w:sz w:val="24"/>
          <w:szCs w:val="24"/>
        </w:rPr>
        <w:t xml:space="preserve">Mata Pelajaran Dasar Layanan Kesehatan (Kecakapan Kerja)</w:t>
      </w:r>
    </w:p>
    <w:p>
      <w:pPr>
        <w:spacing w:after="1200"/>
        <w:jc w:val="center"/>
      </w:pPr>
      <w:r>
        <w:rPr>
          <w:color w:val="595959"/>
          <w:sz w:val="24"/>
          <w:szCs w:val="24"/>
        </w:rPr>
        <w:t xml:space="preserve">Kelas X SMK Program Keahlian Keperawatan</w:t>
      </w:r>
    </w:p>
    <w:p>
      <w:pPr>
        <w:spacing w:before="2000"/>
        <w:jc w:val="center"/>
      </w:pPr>
      <w:r>
        <w:rPr>
          <w:color w:val="595959"/>
          <w:sz w:val="22"/>
          <w:szCs w:val="22"/>
        </w:rPr>
        <w:t xml:space="preserve">Disusun oleh:</w:t>
      </w:r>
    </w:p>
    <w:p>
      <w:pPr>
        <w:spacing w:before="100"/>
        <w:jc w:val="center"/>
      </w:pPr>
      <w:r>
        <w:rPr>
          <w:b/>
          <w:bCs/>
          <w:color w:val="1F3864"/>
          <w:sz w:val="26"/>
          <w:szCs w:val="26"/>
        </w:rPr>
        <w:t xml:space="preserve">Ns. Devika Syarifatia, S.Kep., Gr.</w:t>
      </w:r>
    </w:p>
    <w:p>
      <w:pPr>
        <w:sectPr>
          <w:pgSz w:w="11906" w:h="16838" w:orient="portrait"/>
          <w:pgMar w:top="1000" w:right="1200" w:bottom="1000" w:left="1200" w:header="708" w:footer="708" w:gutter="0"/>
          <w:pgNumType/>
          <w:docGrid w:linePitch="360"/>
        </w:sectPr>
      </w:pPr>
    </w:p>
    <w:p>
      <w:pPr>
        <w:pStyle w:val="Heading1"/>
        <w:pBdr>
          <w:bottom w:val="single" w:color="1F6F6F" w:sz="8" w:space="4"/>
        </w:pBdr>
        <w:spacing w:after="200" w:before="420"/>
      </w:pPr>
      <w:r>
        <w:rPr>
          <w:b/>
          <w:bCs/>
          <w:color w:val="1F3864"/>
          <w:sz w:val="30"/>
          <w:szCs w:val="30"/>
        </w:rPr>
        <w:t xml:space="preserve">A. Latar Belakang</w:t>
      </w:r>
    </w:p>
    <w:p>
      <w:pPr>
        <w:spacing w:after="160" w:line="300"/>
        <w:jc w:val="both"/>
      </w:pPr>
      <w:r>
        <w:rPr>
          <w:color w:val="262626"/>
          <w:sz w:val="22"/>
          <w:szCs w:val="22"/>
        </w:rPr>
        <w:t xml:space="preserve">Pendidikan vokasi keperawatan menuntut lulusan yang tidak hanya menguasai pengetahuan teoretis, tetapi juga mampu berpikir kritis, memecahkan masalah, dan bekerja secara kolaboratif dalam situasi nyata di lapangan. Pembelajaran konvensional yang berpusat pada guru cenderung menghasilkan siswa yang pasif dan kurang terlatih dalam pengambilan keputusan klinis.</w:t>
      </w:r>
    </w:p>
    <w:p>
      <w:pPr>
        <w:spacing w:after="160" w:line="300"/>
        <w:jc w:val="both"/>
      </w:pPr>
      <w:r>
        <w:rPr>
          <w:color w:val="262626"/>
          <w:sz w:val="22"/>
          <w:szCs w:val="22"/>
        </w:rPr>
        <w:t xml:space="preserve">Problem-Based Learning (PBL) hadir sebagai model pembelajaran yang menempatkan masalah nyata sebagai titik awal proses belajar. Melalui PBL, siswa Kelas X Keperawatan dilatih untuk mengidentifikasi masalah kesehatan, mencari informasi secara mandiri, berdiskusi dalam kelompok, dan merumuskan solusi — kompetensi yang sangat relevan dengan tuntutan dunia kerja layanan kesehatan.</w:t>
      </w:r>
    </w:p>
    <w:p>
      <w:pPr>
        <w:pBdr>
          <w:left w:val="single" w:color="1F6F6F" w:sz="24" w:space="8"/>
        </w:pBdr>
        <w:shd w:fill="EAF1F1" w:val="clear"/>
        <w:spacing w:after="220" w:before="120"/>
        <w:ind w:left="200"/>
      </w:pPr>
      <w:r>
        <w:rPr>
          <w:i/>
          <w:iCs/>
          <w:color w:val="333333"/>
          <w:sz w:val="22"/>
          <w:szCs w:val="22"/>
        </w:rPr>
        <w:t xml:space="preserve">“PBL bukan sekadar metode mengajar, melainkan cara membentuk pola pikir klinis (clinical reasoning) sejak dini pada peserta didik keperawatan.”</w:t>
      </w:r>
    </w:p>
    <w:p>
      <w:pPr>
        <w:pStyle w:val="Heading1"/>
        <w:pBdr>
          <w:bottom w:val="single" w:color="1F6F6F" w:sz="8" w:space="4"/>
        </w:pBdr>
        <w:spacing w:after="200" w:before="420"/>
      </w:pPr>
      <w:r>
        <w:rPr>
          <w:b/>
          <w:bCs/>
          <w:color w:val="1F3864"/>
          <w:sz w:val="30"/>
          <w:szCs w:val="30"/>
        </w:rPr>
        <w:t xml:space="preserve">B. Tujuan Seminar</w:t>
      </w:r>
    </w:p>
    <w:p>
      <w:pPr>
        <w:pStyle w:val="ListParagraph"/>
        <w:numPr>
          <w:ilvl w:val="0"/>
          <w:numId w:val="2"/>
        </w:numPr>
        <w:spacing w:after="90" w:line="290"/>
      </w:pPr>
      <w:r>
        <w:rPr>
          <w:color w:val="262626"/>
          <w:sz w:val="22"/>
          <w:szCs w:val="22"/>
        </w:rPr>
        <w:t xml:space="preserve">Memahami konsep dasar dan karakteristik Problem-Based Learning (PBL).</w:t>
      </w:r>
    </w:p>
    <w:p>
      <w:pPr>
        <w:pStyle w:val="ListParagraph"/>
        <w:numPr>
          <w:ilvl w:val="0"/>
          <w:numId w:val="2"/>
        </w:numPr>
        <w:spacing w:after="90" w:line="290"/>
      </w:pPr>
      <w:r>
        <w:rPr>
          <w:color w:val="262626"/>
          <w:sz w:val="22"/>
          <w:szCs w:val="22"/>
        </w:rPr>
        <w:t xml:space="preserve">Memahami landasan teori yang mendasari penerapan PBL dalam pembelajaran keperawatan.</w:t>
      </w:r>
    </w:p>
    <w:p>
      <w:pPr>
        <w:pStyle w:val="ListParagraph"/>
        <w:numPr>
          <w:ilvl w:val="0"/>
          <w:numId w:val="2"/>
        </w:numPr>
        <w:spacing w:after="90" w:line="290"/>
      </w:pPr>
      <w:r>
        <w:rPr>
          <w:color w:val="262626"/>
          <w:sz w:val="22"/>
          <w:szCs w:val="22"/>
        </w:rPr>
        <w:t xml:space="preserve">Mengidentifikasi sintaks atau tahapan pelaksanaan PBL di kelas.</w:t>
      </w:r>
    </w:p>
    <w:p>
      <w:pPr>
        <w:pStyle w:val="ListParagraph"/>
        <w:numPr>
          <w:ilvl w:val="0"/>
          <w:numId w:val="2"/>
        </w:numPr>
        <w:spacing w:after="90" w:line="290"/>
      </w:pPr>
      <w:r>
        <w:rPr>
          <w:color w:val="262626"/>
          <w:sz w:val="22"/>
          <w:szCs w:val="22"/>
        </w:rPr>
        <w:t xml:space="preserve">Merancang desain pembelajaran berbasis PBL untuk mata pelajaran Dasar Layanan Kesehatan.</w:t>
      </w:r>
    </w:p>
    <w:p>
      <w:pPr>
        <w:pStyle w:val="ListParagraph"/>
        <w:numPr>
          <w:ilvl w:val="0"/>
          <w:numId w:val="2"/>
        </w:numPr>
        <w:spacing w:after="90" w:line="290"/>
      </w:pPr>
      <w:r>
        <w:rPr>
          <w:color w:val="262626"/>
          <w:sz w:val="22"/>
          <w:szCs w:val="22"/>
        </w:rPr>
        <w:t xml:space="preserve">Mengetahui teknik asesmen yang sesuai dengan model pembelajaran PBL.</w:t>
      </w:r>
    </w:p>
    <w:p>
      <w:pPr>
        <w:pStyle w:val="Heading1"/>
        <w:pBdr>
          <w:bottom w:val="single" w:color="1F6F6F" w:sz="8" w:space="4"/>
        </w:pBdr>
        <w:spacing w:after="200" w:before="420"/>
      </w:pPr>
      <w:r>
        <w:rPr>
          <w:b/>
          <w:bCs/>
          <w:color w:val="1F3864"/>
          <w:sz w:val="30"/>
          <w:szCs w:val="30"/>
        </w:rPr>
        <w:t xml:space="preserve">C. Pengertian Problem-Based Learning (PBL)</w:t>
      </w:r>
    </w:p>
    <w:p>
      <w:pPr>
        <w:spacing w:after="160" w:line="300"/>
        <w:jc w:val="both"/>
      </w:pPr>
      <w:r>
        <w:rPr>
          <w:color w:val="262626"/>
          <w:sz w:val="22"/>
          <w:szCs w:val="22"/>
        </w:rPr>
        <w:t xml:space="preserve">Problem-Based Learning adalah model pembelajaran yang menggunakan masalah nyata (autentik) sebagai konteks bagi siswa untuk belajar berpikir kritis, keterampilan pemecahan masalah, dan memperoleh pengetahuan mengenai konsep-konsep penting dari materi pelajaran. Dalam konteks keperawatan, masalah yang diangkat biasanya berupa kasus klien, kondisi kesehatan, atau situasi pelayanan yang membutuhkan analisis dan tindakan berbasis bukti.</w:t>
      </w:r>
    </w:p>
    <w:p>
      <w:pPr>
        <w:pStyle w:val="Heading2"/>
        <w:spacing w:after="120" w:before="260"/>
      </w:pPr>
      <w:r>
        <w:rPr>
          <w:b/>
          <w:bCs/>
          <w:color w:val="1F6F6F"/>
          <w:sz w:val="25"/>
          <w:szCs w:val="25"/>
        </w:rPr>
        <w:t xml:space="preserve">Karakteristik Utama PBL</w:t>
      </w:r>
    </w:p>
    <w:p>
      <w:pPr>
        <w:pStyle w:val="ListParagraph"/>
        <w:numPr>
          <w:ilvl w:val="0"/>
          <w:numId w:val="3"/>
        </w:numPr>
        <w:spacing w:after="90" w:line="290"/>
      </w:pPr>
      <w:r>
        <w:rPr>
          <w:color w:val="262626"/>
          <w:sz w:val="22"/>
          <w:szCs w:val="22"/>
        </w:rPr>
        <w:t xml:space="preserve">Pembelajaran dimulai dari sebuah masalah/kasus yang kontekstual dan autentik.</w:t>
      </w:r>
    </w:p>
    <w:p>
      <w:pPr>
        <w:pStyle w:val="ListParagraph"/>
        <w:numPr>
          <w:ilvl w:val="0"/>
          <w:numId w:val="3"/>
        </w:numPr>
        <w:spacing w:after="90" w:line="290"/>
      </w:pPr>
      <w:r>
        <w:rPr>
          <w:color w:val="262626"/>
          <w:sz w:val="22"/>
          <w:szCs w:val="22"/>
        </w:rPr>
        <w:t xml:space="preserve">Masalah bersifat ill-structured (tidak terstruktur), sehingga membuka ruang berpikir kritis.</w:t>
      </w:r>
    </w:p>
    <w:p>
      <w:pPr>
        <w:pStyle w:val="ListParagraph"/>
        <w:numPr>
          <w:ilvl w:val="0"/>
          <w:numId w:val="3"/>
        </w:numPr>
        <w:spacing w:after="90" w:line="290"/>
      </w:pPr>
      <w:r>
        <w:rPr>
          <w:color w:val="262626"/>
          <w:sz w:val="22"/>
          <w:szCs w:val="22"/>
        </w:rPr>
        <w:t xml:space="preserve">Siswa belajar secara kolaboratif dalam kelompok kecil.</w:t>
      </w:r>
    </w:p>
    <w:p>
      <w:pPr>
        <w:pStyle w:val="ListParagraph"/>
        <w:numPr>
          <w:ilvl w:val="0"/>
          <w:numId w:val="3"/>
        </w:numPr>
        <w:spacing w:after="90" w:line="290"/>
      </w:pPr>
      <w:r>
        <w:rPr>
          <w:color w:val="262626"/>
          <w:sz w:val="22"/>
          <w:szCs w:val="22"/>
        </w:rPr>
        <w:t xml:space="preserve">Guru berperan sebagai fasilitator, bukan sumber informasi tunggal.</w:t>
      </w:r>
    </w:p>
    <w:p>
      <w:pPr>
        <w:pStyle w:val="ListParagraph"/>
        <w:numPr>
          <w:ilvl w:val="0"/>
          <w:numId w:val="3"/>
        </w:numPr>
        <w:spacing w:after="90" w:line="290"/>
      </w:pPr>
      <w:r>
        <w:rPr>
          <w:color w:val="262626"/>
          <w:sz w:val="22"/>
          <w:szCs w:val="22"/>
        </w:rPr>
        <w:t xml:space="preserve">Berorientasi pada proses berpikir (self-directed learning) sekaligus penguasaan konsep.</w:t>
      </w:r>
    </w:p>
    <w:p>
      <w:pPr>
        <w:pStyle w:val="Heading1"/>
        <w:pBdr>
          <w:bottom w:val="single" w:color="1F6F6F" w:sz="8" w:space="4"/>
        </w:pBdr>
        <w:spacing w:after="200" w:before="420"/>
      </w:pPr>
      <w:r>
        <w:rPr>
          <w:b/>
          <w:bCs/>
          <w:color w:val="1F3864"/>
          <w:sz w:val="30"/>
          <w:szCs w:val="30"/>
        </w:rPr>
        <w:t xml:space="preserve">D. Landasan Teori</w:t>
      </w:r>
    </w:p>
    <w:p>
      <w:pPr>
        <w:pStyle w:val="ListParagraph"/>
        <w:numPr>
          <w:ilvl w:val="0"/>
          <w:numId w:val="2"/>
        </w:numPr>
        <w:spacing w:after="90" w:line="290"/>
      </w:pPr>
      <w:r>
        <w:rPr>
          <w:color w:val="262626"/>
          <w:sz w:val="22"/>
          <w:szCs w:val="22"/>
        </w:rPr>
        <w:t xml:space="preserve">Teori Konstruktivisme — pengetahuan dibangun sendiri oleh siswa melalui pengalaman dan interaksi dengan masalah nyata.</w:t>
      </w:r>
    </w:p>
    <w:p>
      <w:pPr>
        <w:pStyle w:val="ListParagraph"/>
        <w:numPr>
          <w:ilvl w:val="0"/>
          <w:numId w:val="2"/>
        </w:numPr>
        <w:spacing w:after="90" w:line="290"/>
      </w:pPr>
      <w:r>
        <w:rPr>
          <w:color w:val="262626"/>
          <w:sz w:val="22"/>
          <w:szCs w:val="22"/>
        </w:rPr>
        <w:t xml:space="preserve">Teori Belajar Kognitif (Piaget &amp; Vygotsky) — belajar terjadi melalui proses asimilasi, akomodasi, dan interaksi sosial (scaffolding).</w:t>
      </w:r>
    </w:p>
    <w:p>
      <w:pPr>
        <w:pStyle w:val="ListParagraph"/>
        <w:numPr>
          <w:ilvl w:val="0"/>
          <w:numId w:val="2"/>
        </w:numPr>
        <w:spacing w:after="90" w:line="290"/>
      </w:pPr>
      <w:r>
        <w:rPr>
          <w:color w:val="262626"/>
          <w:sz w:val="22"/>
          <w:szCs w:val="22"/>
        </w:rPr>
        <w:t xml:space="preserve">Adult Learning Theory (Andragogi) — relevan untuk siswa SMK yang mulai dipersiapkan menghadapi dunia kerja nyata.</w:t>
      </w:r>
    </w:p>
    <w:p>
      <w:pPr>
        <w:pStyle w:val="ListParagraph"/>
        <w:numPr>
          <w:ilvl w:val="0"/>
          <w:numId w:val="2"/>
        </w:numPr>
        <w:spacing w:after="90" w:line="290"/>
      </w:pPr>
      <w:r>
        <w:rPr>
          <w:color w:val="262626"/>
          <w:sz w:val="22"/>
          <w:szCs w:val="22"/>
        </w:rPr>
        <w:t xml:space="preserve">Experiential Learning (Kolb) — belajar melalui siklus pengalaman konkret, refleksi, konseptualisasi, dan eksperimentasi aktif.</w:t>
      </w:r>
    </w:p>
    <w:p>
      <w:r>
        <w:br w:type="page"/>
      </w:r>
    </w:p>
    <w:p>
      <w:pPr>
        <w:pStyle w:val="Heading1"/>
        <w:pBdr>
          <w:bottom w:val="single" w:color="1F6F6F" w:sz="8" w:space="4"/>
        </w:pBdr>
        <w:spacing w:after="200" w:before="420"/>
      </w:pPr>
      <w:r>
        <w:rPr>
          <w:b/>
          <w:bCs/>
          <w:color w:val="1F3864"/>
          <w:sz w:val="30"/>
          <w:szCs w:val="30"/>
        </w:rPr>
        <w:t xml:space="preserve">E. Sintaks / Tahapan Pelaksanaan PBL</w:t>
      </w:r>
    </w:p>
    <w:p>
      <w:pPr>
        <w:spacing w:after="160" w:line="300"/>
        <w:jc w:val="both"/>
      </w:pPr>
      <w:r>
        <w:rPr>
          <w:color w:val="262626"/>
          <w:sz w:val="22"/>
          <w:szCs w:val="22"/>
        </w:rPr>
        <w:t xml:space="preserve">Berikut lima tahap utama pelaksanaan PBL yang dapat diterapkan pada pembelajaran Dasar Layanan Kesehatan:</w:t>
      </w:r>
    </w:p>
    <w:tbl>
      <w:tblPr>
        <w:tblW w:type="dxa" w:w="8600"/>
        <w:tblBorders>
          <w:top w:val="single" w:color="auto" w:sz="4"/>
          <w:left w:val="single" w:color="auto" w:sz="4"/>
          <w:bottom w:val="single" w:color="auto" w:sz="4"/>
          <w:right w:val="single" w:color="auto" w:sz="4"/>
          <w:insideH w:val="single" w:color="auto" w:sz="4"/>
          <w:insideV w:val="single" w:color="auto" w:sz="4"/>
        </w:tblBorders>
      </w:tblPr>
      <w:tblGrid>
        <w:gridCol w:w="1400"/>
        <w:gridCol w:w="3600"/>
        <w:gridCol w:w="3600"/>
      </w:tblGrid>
      <w:tr>
        <w:trPr>
          <w:tblHeader/>
        </w:trPr>
        <w:tc>
          <w:tcPr>
            <w:tcW w:type="dxa" w:w="1400"/>
            <w:shd w:fill="1F3864" w:val="clear"/>
            <w:tcMar>
              <w:top w:type="dxa" w:w="100"/>
              <w:left w:type="dxa" w:w="120"/>
              <w:bottom w:type="dxa" w:w="100"/>
              <w:right w:type="dxa" w:w="120"/>
            </w:tcMar>
            <w:vAlign w:val="center"/>
          </w:tcPr>
          <w:p>
            <w:r>
              <w:rPr>
                <w:b/>
                <w:bCs/>
                <w:color w:val="FFFFFF"/>
                <w:sz w:val="20"/>
                <w:szCs w:val="20"/>
              </w:rPr>
              <w:t xml:space="preserve">Tahap</w:t>
            </w:r>
          </w:p>
        </w:tc>
        <w:tc>
          <w:tcPr>
            <w:tcW w:type="dxa" w:w="3600"/>
            <w:shd w:fill="1F3864" w:val="clear"/>
            <w:tcMar>
              <w:top w:type="dxa" w:w="100"/>
              <w:left w:type="dxa" w:w="120"/>
              <w:bottom w:type="dxa" w:w="100"/>
              <w:right w:type="dxa" w:w="120"/>
            </w:tcMar>
            <w:vAlign w:val="center"/>
          </w:tcPr>
          <w:p>
            <w:r>
              <w:rPr>
                <w:b/>
                <w:bCs/>
                <w:color w:val="FFFFFF"/>
                <w:sz w:val="20"/>
                <w:szCs w:val="20"/>
              </w:rPr>
              <w:t xml:space="preserve">Kegiatan Guru</w:t>
            </w:r>
          </w:p>
        </w:tc>
        <w:tc>
          <w:tcPr>
            <w:tcW w:type="dxa" w:w="3600"/>
            <w:shd w:fill="1F3864" w:val="clear"/>
            <w:tcMar>
              <w:top w:type="dxa" w:w="100"/>
              <w:left w:type="dxa" w:w="120"/>
              <w:bottom w:type="dxa" w:w="100"/>
              <w:right w:type="dxa" w:w="120"/>
            </w:tcMar>
            <w:vAlign w:val="center"/>
          </w:tcPr>
          <w:p>
            <w:r>
              <w:rPr>
                <w:b/>
                <w:bCs/>
                <w:color w:val="FFFFFF"/>
                <w:sz w:val="20"/>
                <w:szCs w:val="20"/>
              </w:rPr>
              <w:t xml:space="preserve">Kegiatan Siswa</w:t>
            </w:r>
          </w:p>
        </w:tc>
      </w:tr>
      <w:tr>
        <w:tc>
          <w:tcPr>
            <w:tcW w:type="dxa" w:w="1400"/>
            <w:shd w:fill="EAF1F1" w:val="clear"/>
            <w:tcMar>
              <w:top w:type="dxa" w:w="100"/>
              <w:left w:type="dxa" w:w="120"/>
              <w:bottom w:type="dxa" w:w="100"/>
              <w:right w:type="dxa" w:w="120"/>
            </w:tcMar>
            <w:vAlign w:val="center"/>
          </w:tcPr>
          <w:p>
            <w:r>
              <w:rPr>
                <w:b/>
                <w:bCs/>
                <w:color w:val="262626"/>
                <w:sz w:val="20"/>
                <w:szCs w:val="20"/>
              </w:rPr>
              <w:t xml:space="preserve">1. Orientasi Masalah</w:t>
            </w:r>
          </w:p>
        </w:tc>
        <w:tc>
          <w:tcPr>
            <w:tcW w:type="dxa" w:w="3600"/>
            <w:tcMar>
              <w:top w:type="dxa" w:w="100"/>
              <w:left w:type="dxa" w:w="120"/>
              <w:bottom w:type="dxa" w:w="100"/>
              <w:right w:type="dxa" w:w="120"/>
            </w:tcMar>
            <w:vAlign w:val="center"/>
          </w:tcPr>
          <w:p>
            <w:r>
              <w:rPr>
                <w:b w:val="false"/>
                <w:bCs w:val="false"/>
                <w:color w:val="262626"/>
                <w:sz w:val="20"/>
                <w:szCs w:val="20"/>
              </w:rPr>
              <w:t xml:space="preserve">Menyajikan kasus kesehatan nyata, mis. skenario klien dengan keluhan tertentu</w:t>
            </w:r>
          </w:p>
        </w:tc>
        <w:tc>
          <w:tcPr>
            <w:tcW w:type="dxa" w:w="3600"/>
            <w:tcMar>
              <w:top w:type="dxa" w:w="100"/>
              <w:left w:type="dxa" w:w="120"/>
              <w:bottom w:type="dxa" w:w="100"/>
              <w:right w:type="dxa" w:w="120"/>
            </w:tcMar>
            <w:vAlign w:val="center"/>
          </w:tcPr>
          <w:p>
            <w:r>
              <w:rPr>
                <w:b w:val="false"/>
                <w:bCs w:val="false"/>
                <w:color w:val="262626"/>
                <w:sz w:val="20"/>
                <w:szCs w:val="20"/>
              </w:rPr>
              <w:t xml:space="preserve">Mengamati dan memahami masalah yang disajikan</w:t>
            </w:r>
          </w:p>
        </w:tc>
      </w:tr>
      <w:tr>
        <w:tc>
          <w:tcPr>
            <w:tcW w:type="dxa" w:w="1400"/>
            <w:shd w:fill="EAF1F1" w:val="clear"/>
            <w:tcMar>
              <w:top w:type="dxa" w:w="100"/>
              <w:left w:type="dxa" w:w="120"/>
              <w:bottom w:type="dxa" w:w="100"/>
              <w:right w:type="dxa" w:w="120"/>
            </w:tcMar>
            <w:vAlign w:val="center"/>
          </w:tcPr>
          <w:p>
            <w:r>
              <w:rPr>
                <w:b/>
                <w:bCs/>
                <w:color w:val="262626"/>
                <w:sz w:val="20"/>
                <w:szCs w:val="20"/>
              </w:rPr>
              <w:t xml:space="preserve">2. Mengorganisasi Siswa</w:t>
            </w:r>
          </w:p>
        </w:tc>
        <w:tc>
          <w:tcPr>
            <w:tcW w:type="dxa" w:w="3600"/>
            <w:tcMar>
              <w:top w:type="dxa" w:w="100"/>
              <w:left w:type="dxa" w:w="120"/>
              <w:bottom w:type="dxa" w:w="100"/>
              <w:right w:type="dxa" w:w="120"/>
            </w:tcMar>
            <w:vAlign w:val="center"/>
          </w:tcPr>
          <w:p>
            <w:r>
              <w:rPr>
                <w:b w:val="false"/>
                <w:bCs w:val="false"/>
                <w:color w:val="262626"/>
                <w:sz w:val="20"/>
                <w:szCs w:val="20"/>
              </w:rPr>
              <w:t xml:space="preserve">Membagi kelompok dan membantu menetapkan tugas belajar terkait masalah</w:t>
            </w:r>
          </w:p>
        </w:tc>
        <w:tc>
          <w:tcPr>
            <w:tcW w:type="dxa" w:w="3600"/>
            <w:tcMar>
              <w:top w:type="dxa" w:w="100"/>
              <w:left w:type="dxa" w:w="120"/>
              <w:bottom w:type="dxa" w:w="100"/>
              <w:right w:type="dxa" w:w="120"/>
            </w:tcMar>
            <w:vAlign w:val="center"/>
          </w:tcPr>
          <w:p>
            <w:r>
              <w:rPr>
                <w:b w:val="false"/>
                <w:bCs w:val="false"/>
                <w:color w:val="262626"/>
                <w:sz w:val="20"/>
                <w:szCs w:val="20"/>
              </w:rPr>
              <w:t xml:space="preserve">Merumuskan pertanyaan/hipotesis dan pembagian tugas kelompok</w:t>
            </w:r>
          </w:p>
        </w:tc>
      </w:tr>
      <w:tr>
        <w:tc>
          <w:tcPr>
            <w:tcW w:type="dxa" w:w="1400"/>
            <w:shd w:fill="EAF1F1" w:val="clear"/>
            <w:tcMar>
              <w:top w:type="dxa" w:w="100"/>
              <w:left w:type="dxa" w:w="120"/>
              <w:bottom w:type="dxa" w:w="100"/>
              <w:right w:type="dxa" w:w="120"/>
            </w:tcMar>
            <w:vAlign w:val="center"/>
          </w:tcPr>
          <w:p>
            <w:r>
              <w:rPr>
                <w:b/>
                <w:bCs/>
                <w:color w:val="262626"/>
                <w:sz w:val="20"/>
                <w:szCs w:val="20"/>
              </w:rPr>
              <w:t xml:space="preserve">3. Membimbing Penyelidikan</w:t>
            </w:r>
          </w:p>
        </w:tc>
        <w:tc>
          <w:tcPr>
            <w:tcW w:type="dxa" w:w="3600"/>
            <w:tcMar>
              <w:top w:type="dxa" w:w="100"/>
              <w:left w:type="dxa" w:w="120"/>
              <w:bottom w:type="dxa" w:w="100"/>
              <w:right w:type="dxa" w:w="120"/>
            </w:tcMar>
            <w:vAlign w:val="center"/>
          </w:tcPr>
          <w:p>
            <w:r>
              <w:rPr>
                <w:b w:val="false"/>
                <w:bCs w:val="false"/>
                <w:color w:val="262626"/>
                <w:sz w:val="20"/>
                <w:szCs w:val="20"/>
              </w:rPr>
              <w:t xml:space="preserve">Mendorong pengumpulan data/informasi dan memfasilitasi diskusi</w:t>
            </w:r>
          </w:p>
        </w:tc>
        <w:tc>
          <w:tcPr>
            <w:tcW w:type="dxa" w:w="3600"/>
            <w:tcMar>
              <w:top w:type="dxa" w:w="100"/>
              <w:left w:type="dxa" w:w="120"/>
              <w:bottom w:type="dxa" w:w="100"/>
              <w:right w:type="dxa" w:w="120"/>
            </w:tcMar>
            <w:vAlign w:val="center"/>
          </w:tcPr>
          <w:p>
            <w:r>
              <w:rPr>
                <w:b w:val="false"/>
                <w:bCs w:val="false"/>
                <w:color w:val="262626"/>
                <w:sz w:val="20"/>
                <w:szCs w:val="20"/>
              </w:rPr>
              <w:t xml:space="preserve">Mengumpulkan data melalui observasi, literatur, atau simulasi praktik</w:t>
            </w:r>
          </w:p>
        </w:tc>
      </w:tr>
      <w:tr>
        <w:tc>
          <w:tcPr>
            <w:tcW w:type="dxa" w:w="1400"/>
            <w:shd w:fill="EAF1F1" w:val="clear"/>
            <w:tcMar>
              <w:top w:type="dxa" w:w="100"/>
              <w:left w:type="dxa" w:w="120"/>
              <w:bottom w:type="dxa" w:w="100"/>
              <w:right w:type="dxa" w:w="120"/>
            </w:tcMar>
            <w:vAlign w:val="center"/>
          </w:tcPr>
          <w:p>
            <w:r>
              <w:rPr>
                <w:b/>
                <w:bCs/>
                <w:color w:val="262626"/>
                <w:sz w:val="20"/>
                <w:szCs w:val="20"/>
              </w:rPr>
              <w:t xml:space="preserve">4. Mengembangkan &amp; Menyajikan Hasil</w:t>
            </w:r>
          </w:p>
        </w:tc>
        <w:tc>
          <w:tcPr>
            <w:tcW w:type="dxa" w:w="3600"/>
            <w:tcMar>
              <w:top w:type="dxa" w:w="100"/>
              <w:left w:type="dxa" w:w="120"/>
              <w:bottom w:type="dxa" w:w="100"/>
              <w:right w:type="dxa" w:w="120"/>
            </w:tcMar>
            <w:vAlign w:val="center"/>
          </w:tcPr>
          <w:p>
            <w:r>
              <w:rPr>
                <w:b w:val="false"/>
                <w:bCs w:val="false"/>
                <w:color w:val="262626"/>
                <w:sz w:val="20"/>
                <w:szCs w:val="20"/>
              </w:rPr>
              <w:t xml:space="preserve">Membantu merencanakan produk berupa laporan, prosedur, atau demonstrasi</w:t>
            </w:r>
          </w:p>
        </w:tc>
        <w:tc>
          <w:tcPr>
            <w:tcW w:type="dxa" w:w="3600"/>
            <w:tcMar>
              <w:top w:type="dxa" w:w="100"/>
              <w:left w:type="dxa" w:w="120"/>
              <w:bottom w:type="dxa" w:w="100"/>
              <w:right w:type="dxa" w:w="120"/>
            </w:tcMar>
            <w:vAlign w:val="center"/>
          </w:tcPr>
          <w:p>
            <w:r>
              <w:rPr>
                <w:b w:val="false"/>
                <w:bCs w:val="false"/>
                <w:color w:val="262626"/>
                <w:sz w:val="20"/>
                <w:szCs w:val="20"/>
              </w:rPr>
              <w:t xml:space="preserve">Menyusun dan mempresentasikan solusi/hasil analisis kasus</w:t>
            </w:r>
          </w:p>
        </w:tc>
      </w:tr>
      <w:tr>
        <w:tc>
          <w:tcPr>
            <w:tcW w:type="dxa" w:w="1400"/>
            <w:shd w:fill="EAF1F1" w:val="clear"/>
            <w:tcMar>
              <w:top w:type="dxa" w:w="100"/>
              <w:left w:type="dxa" w:w="120"/>
              <w:bottom w:type="dxa" w:w="100"/>
              <w:right w:type="dxa" w:w="120"/>
            </w:tcMar>
            <w:vAlign w:val="center"/>
          </w:tcPr>
          <w:p>
            <w:r>
              <w:rPr>
                <w:b/>
                <w:bCs/>
                <w:color w:val="262626"/>
                <w:sz w:val="20"/>
                <w:szCs w:val="20"/>
              </w:rPr>
              <w:t xml:space="preserve">5. Menganalisis &amp; Mengevaluasi</w:t>
            </w:r>
          </w:p>
        </w:tc>
        <w:tc>
          <w:tcPr>
            <w:tcW w:type="dxa" w:w="3600"/>
            <w:tcMar>
              <w:top w:type="dxa" w:w="100"/>
              <w:left w:type="dxa" w:w="120"/>
              <w:bottom w:type="dxa" w:w="100"/>
              <w:right w:type="dxa" w:w="120"/>
            </w:tcMar>
            <w:vAlign w:val="center"/>
          </w:tcPr>
          <w:p>
            <w:r>
              <w:rPr>
                <w:b w:val="false"/>
                <w:bCs w:val="false"/>
                <w:color w:val="262626"/>
                <w:sz w:val="20"/>
                <w:szCs w:val="20"/>
              </w:rPr>
              <w:t xml:space="preserve">Membimbing refleksi proses pemecahan masalah</w:t>
            </w:r>
          </w:p>
        </w:tc>
        <w:tc>
          <w:tcPr>
            <w:tcW w:type="dxa" w:w="3600"/>
            <w:tcMar>
              <w:top w:type="dxa" w:w="100"/>
              <w:left w:type="dxa" w:w="120"/>
              <w:bottom w:type="dxa" w:w="100"/>
              <w:right w:type="dxa" w:w="120"/>
            </w:tcMar>
            <w:vAlign w:val="center"/>
          </w:tcPr>
          <w:p>
            <w:r>
              <w:rPr>
                <w:b w:val="false"/>
                <w:bCs w:val="false"/>
                <w:color w:val="262626"/>
                <w:sz w:val="20"/>
                <w:szCs w:val="20"/>
              </w:rPr>
              <w:t xml:space="preserve">Melakukan evaluasi diri dan kelompok atas proses berpikir yang dilakukan</w:t>
            </w:r>
          </w:p>
        </w:tc>
      </w:tr>
    </w:tbl>
    <w:p>
      <w:pPr>
        <w:spacing w:after="200"/>
      </w:pPr>
    </w:p>
    <w:p>
      <w:pPr>
        <w:pStyle w:val="Heading1"/>
        <w:pBdr>
          <w:bottom w:val="single" w:color="1F6F6F" w:sz="8" w:space="4"/>
        </w:pBdr>
        <w:spacing w:after="200" w:before="420"/>
      </w:pPr>
      <w:r>
        <w:rPr>
          <w:b/>
          <w:bCs/>
          <w:color w:val="1F3864"/>
          <w:sz w:val="30"/>
          <w:szCs w:val="30"/>
        </w:rPr>
        <w:t xml:space="preserve">F. Contoh Desain Pembelajaran Berbasis PBL</w:t>
      </w:r>
    </w:p>
    <w:p>
      <w:pPr>
        <w:spacing w:after="160" w:line="300"/>
        <w:jc w:val="both"/>
      </w:pPr>
      <w:r>
        <w:rPr>
          <w:color w:val="262626"/>
          <w:sz w:val="22"/>
          <w:szCs w:val="22"/>
        </w:rPr>
        <w:t xml:space="preserve">Berikut adalah contoh rancangan singkat penerapan PBL pada topik pemeriksaan tanda-tanda vital, sebagai ilustrasi penyusunan desain pembelajaran yang dapat dikembangkan lebih lanjut oleh guru:</w:t>
      </w:r>
    </w:p>
    <w:tbl>
      <w:tblPr>
        <w:tblW w:type="dxa" w:w="8600"/>
        <w:tblBorders>
          <w:top w:val="single" w:color="auto" w:sz="4"/>
          <w:left w:val="single" w:color="auto" w:sz="4"/>
          <w:bottom w:val="single" w:color="auto" w:sz="4"/>
          <w:right w:val="single" w:color="auto" w:sz="4"/>
          <w:insideH w:val="single" w:color="auto" w:sz="4"/>
          <w:insideV w:val="single" w:color="auto" w:sz="4"/>
        </w:tblBorders>
      </w:tblPr>
      <w:tblGrid>
        <w:gridCol w:w="2400"/>
        <w:gridCol w:w="6200"/>
      </w:tblGrid>
      <w:tr>
        <w:trPr>
          <w:tblHeader/>
        </w:trPr>
        <w:tc>
          <w:tcPr>
            <w:tcW w:type="dxa" w:w="2400"/>
            <w:shd w:fill="1F3864" w:val="clear"/>
            <w:tcMar>
              <w:top w:type="dxa" w:w="100"/>
              <w:left w:type="dxa" w:w="120"/>
              <w:bottom w:type="dxa" w:w="100"/>
              <w:right w:type="dxa" w:w="120"/>
            </w:tcMar>
            <w:vAlign w:val="center"/>
          </w:tcPr>
          <w:p>
            <w:r>
              <w:rPr>
                <w:b/>
                <w:bCs/>
                <w:color w:val="FFFFFF"/>
                <w:sz w:val="20"/>
                <w:szCs w:val="20"/>
              </w:rPr>
              <w:t xml:space="preserve">Komponen</w:t>
            </w:r>
          </w:p>
        </w:tc>
        <w:tc>
          <w:tcPr>
            <w:tcW w:type="dxa" w:w="6200"/>
            <w:shd w:fill="1F3864" w:val="clear"/>
            <w:tcMar>
              <w:top w:type="dxa" w:w="100"/>
              <w:left w:type="dxa" w:w="120"/>
              <w:bottom w:type="dxa" w:w="100"/>
              <w:right w:type="dxa" w:w="120"/>
            </w:tcMar>
            <w:vAlign w:val="center"/>
          </w:tcPr>
          <w:p>
            <w:r>
              <w:rPr>
                <w:b/>
                <w:bCs/>
                <w:color w:val="FFFFFF"/>
                <w:sz w:val="20"/>
                <w:szCs w:val="20"/>
              </w:rPr>
              <w:t xml:space="preserve">Deskripsi</w:t>
            </w:r>
          </w:p>
        </w:tc>
      </w:tr>
      <w:tr>
        <w:tc>
          <w:tcPr>
            <w:tcW w:type="dxa" w:w="2400"/>
            <w:shd w:fill="EAF1F1" w:val="clear"/>
            <w:tcMar>
              <w:top w:type="dxa" w:w="100"/>
              <w:left w:type="dxa" w:w="120"/>
              <w:bottom w:type="dxa" w:w="100"/>
              <w:right w:type="dxa" w:w="120"/>
            </w:tcMar>
            <w:vAlign w:val="center"/>
          </w:tcPr>
          <w:p>
            <w:r>
              <w:rPr>
                <w:b/>
                <w:bCs/>
                <w:color w:val="262626"/>
                <w:sz w:val="20"/>
                <w:szCs w:val="20"/>
              </w:rPr>
              <w:t xml:space="preserve">Mata Pelajaran</w:t>
            </w:r>
          </w:p>
        </w:tc>
        <w:tc>
          <w:tcPr>
            <w:tcW w:type="dxa" w:w="6200"/>
            <w:tcMar>
              <w:top w:type="dxa" w:w="100"/>
              <w:left w:type="dxa" w:w="120"/>
              <w:bottom w:type="dxa" w:w="100"/>
              <w:right w:type="dxa" w:w="120"/>
            </w:tcMar>
            <w:vAlign w:val="center"/>
          </w:tcPr>
          <w:p>
            <w:r>
              <w:rPr>
                <w:b w:val="false"/>
                <w:bCs w:val="false"/>
                <w:color w:val="262626"/>
                <w:sz w:val="20"/>
                <w:szCs w:val="20"/>
              </w:rPr>
              <w:t xml:space="preserve">Dasar Layanan Kesehatan (Kecakapan Kerja)</w:t>
            </w:r>
          </w:p>
        </w:tc>
      </w:tr>
      <w:tr>
        <w:tc>
          <w:tcPr>
            <w:tcW w:type="dxa" w:w="2400"/>
            <w:shd w:fill="EAF1F1" w:val="clear"/>
            <w:tcMar>
              <w:top w:type="dxa" w:w="100"/>
              <w:left w:type="dxa" w:w="120"/>
              <w:bottom w:type="dxa" w:w="100"/>
              <w:right w:type="dxa" w:w="120"/>
            </w:tcMar>
            <w:vAlign w:val="center"/>
          </w:tcPr>
          <w:p>
            <w:r>
              <w:rPr>
                <w:b/>
                <w:bCs/>
                <w:color w:val="262626"/>
                <w:sz w:val="20"/>
                <w:szCs w:val="20"/>
              </w:rPr>
              <w:t xml:space="preserve">Kelas / Fase</w:t>
            </w:r>
          </w:p>
        </w:tc>
        <w:tc>
          <w:tcPr>
            <w:tcW w:type="dxa" w:w="6200"/>
            <w:tcMar>
              <w:top w:type="dxa" w:w="100"/>
              <w:left w:type="dxa" w:w="120"/>
              <w:bottom w:type="dxa" w:w="100"/>
              <w:right w:type="dxa" w:w="120"/>
            </w:tcMar>
            <w:vAlign w:val="center"/>
          </w:tcPr>
          <w:p>
            <w:r>
              <w:rPr>
                <w:b w:val="false"/>
                <w:bCs w:val="false"/>
                <w:color w:val="262626"/>
                <w:sz w:val="20"/>
                <w:szCs w:val="20"/>
              </w:rPr>
              <w:t xml:space="preserve">X SMK Keperawatan / Fase E</w:t>
            </w:r>
          </w:p>
        </w:tc>
      </w:tr>
      <w:tr>
        <w:tc>
          <w:tcPr>
            <w:tcW w:type="dxa" w:w="2400"/>
            <w:shd w:fill="EAF1F1" w:val="clear"/>
            <w:tcMar>
              <w:top w:type="dxa" w:w="100"/>
              <w:left w:type="dxa" w:w="120"/>
              <w:bottom w:type="dxa" w:w="100"/>
              <w:right w:type="dxa" w:w="120"/>
            </w:tcMar>
            <w:vAlign w:val="center"/>
          </w:tcPr>
          <w:p>
            <w:r>
              <w:rPr>
                <w:b/>
                <w:bCs/>
                <w:color w:val="262626"/>
                <w:sz w:val="20"/>
                <w:szCs w:val="20"/>
              </w:rPr>
              <w:t xml:space="preserve">Topik</w:t>
            </w:r>
          </w:p>
        </w:tc>
        <w:tc>
          <w:tcPr>
            <w:tcW w:type="dxa" w:w="6200"/>
            <w:tcMar>
              <w:top w:type="dxa" w:w="100"/>
              <w:left w:type="dxa" w:w="120"/>
              <w:bottom w:type="dxa" w:w="100"/>
              <w:right w:type="dxa" w:w="120"/>
            </w:tcMar>
            <w:vAlign w:val="center"/>
          </w:tcPr>
          <w:p>
            <w:r>
              <w:rPr>
                <w:b w:val="false"/>
                <w:bCs w:val="false"/>
                <w:color w:val="262626"/>
                <w:sz w:val="20"/>
                <w:szCs w:val="20"/>
              </w:rPr>
              <w:t xml:space="preserve">Pemeriksaan Tanda-Tanda Vital (Vital Sign)</w:t>
            </w:r>
          </w:p>
        </w:tc>
      </w:tr>
      <w:tr>
        <w:tc>
          <w:tcPr>
            <w:tcW w:type="dxa" w:w="2400"/>
            <w:shd w:fill="EAF1F1" w:val="clear"/>
            <w:tcMar>
              <w:top w:type="dxa" w:w="100"/>
              <w:left w:type="dxa" w:w="120"/>
              <w:bottom w:type="dxa" w:w="100"/>
              <w:right w:type="dxa" w:w="120"/>
            </w:tcMar>
            <w:vAlign w:val="center"/>
          </w:tcPr>
          <w:p>
            <w:r>
              <w:rPr>
                <w:b/>
                <w:bCs/>
                <w:color w:val="262626"/>
                <w:sz w:val="20"/>
                <w:szCs w:val="20"/>
              </w:rPr>
              <w:t xml:space="preserve">Masalah Pemicu (Trigger Case)</w:t>
            </w:r>
          </w:p>
        </w:tc>
        <w:tc>
          <w:tcPr>
            <w:tcW w:type="dxa" w:w="6200"/>
            <w:tcMar>
              <w:top w:type="dxa" w:w="100"/>
              <w:left w:type="dxa" w:w="120"/>
              <w:bottom w:type="dxa" w:w="100"/>
              <w:right w:type="dxa" w:w="120"/>
            </w:tcMar>
            <w:vAlign w:val="center"/>
          </w:tcPr>
          <w:p>
            <w:r>
              <w:rPr>
                <w:b w:val="false"/>
                <w:bCs w:val="false"/>
                <w:color w:val="262626"/>
                <w:sz w:val="20"/>
                <w:szCs w:val="20"/>
              </w:rPr>
              <w:t xml:space="preserve">Seorang klien datang ke poli dengan keluhan pusing dan lemas. Siswa diminta menentukan langkah pemeriksaan awal yang tepat serta menginterpretasi hasilnya.</w:t>
            </w:r>
          </w:p>
        </w:tc>
      </w:tr>
      <w:tr>
        <w:tc>
          <w:tcPr>
            <w:tcW w:type="dxa" w:w="2400"/>
            <w:shd w:fill="EAF1F1" w:val="clear"/>
            <w:tcMar>
              <w:top w:type="dxa" w:w="100"/>
              <w:left w:type="dxa" w:w="120"/>
              <w:bottom w:type="dxa" w:w="100"/>
              <w:right w:type="dxa" w:w="120"/>
            </w:tcMar>
            <w:vAlign w:val="center"/>
          </w:tcPr>
          <w:p>
            <w:r>
              <w:rPr>
                <w:b/>
                <w:bCs/>
                <w:color w:val="262626"/>
                <w:sz w:val="20"/>
                <w:szCs w:val="20"/>
              </w:rPr>
              <w:t xml:space="preserve">Tujuan Pembelajaran</w:t>
            </w:r>
          </w:p>
        </w:tc>
        <w:tc>
          <w:tcPr>
            <w:tcW w:type="dxa" w:w="6200"/>
            <w:tcMar>
              <w:top w:type="dxa" w:w="100"/>
              <w:left w:type="dxa" w:w="120"/>
              <w:bottom w:type="dxa" w:w="100"/>
              <w:right w:type="dxa" w:w="120"/>
            </w:tcMar>
            <w:vAlign w:val="center"/>
          </w:tcPr>
          <w:p>
            <w:r>
              <w:rPr>
                <w:b w:val="false"/>
                <w:bCs w:val="false"/>
                <w:color w:val="262626"/>
                <w:sz w:val="20"/>
                <w:szCs w:val="20"/>
              </w:rPr>
              <w:t xml:space="preserve">Siswa mampu melakukan pemeriksaan tanda-tanda vital secara sistematis dan menginterpretasikan hasil pemeriksaan sesuai standar prosedur.</w:t>
            </w:r>
          </w:p>
        </w:tc>
      </w:tr>
      <w:tr>
        <w:tc>
          <w:tcPr>
            <w:tcW w:type="dxa" w:w="2400"/>
            <w:shd w:fill="EAF1F1" w:val="clear"/>
            <w:tcMar>
              <w:top w:type="dxa" w:w="100"/>
              <w:left w:type="dxa" w:w="120"/>
              <w:bottom w:type="dxa" w:w="100"/>
              <w:right w:type="dxa" w:w="120"/>
            </w:tcMar>
            <w:vAlign w:val="center"/>
          </w:tcPr>
          <w:p>
            <w:r>
              <w:rPr>
                <w:b/>
                <w:bCs/>
                <w:color w:val="262626"/>
                <w:sz w:val="20"/>
                <w:szCs w:val="20"/>
              </w:rPr>
              <w:t xml:space="preserve">Model &amp; Metode</w:t>
            </w:r>
          </w:p>
        </w:tc>
        <w:tc>
          <w:tcPr>
            <w:tcW w:type="dxa" w:w="6200"/>
            <w:tcMar>
              <w:top w:type="dxa" w:w="100"/>
              <w:left w:type="dxa" w:w="120"/>
              <w:bottom w:type="dxa" w:w="100"/>
              <w:right w:type="dxa" w:w="120"/>
            </w:tcMar>
            <w:vAlign w:val="center"/>
          </w:tcPr>
          <w:p>
            <w:r>
              <w:rPr>
                <w:b w:val="false"/>
                <w:bCs w:val="false"/>
                <w:color w:val="262626"/>
                <w:sz w:val="20"/>
                <w:szCs w:val="20"/>
              </w:rPr>
              <w:t xml:space="preserve">Problem-Based Learning; diskusi kelompok, simulasi/praktik, presentasi</w:t>
            </w:r>
          </w:p>
        </w:tc>
      </w:tr>
      <w:tr>
        <w:tc>
          <w:tcPr>
            <w:tcW w:type="dxa" w:w="2400"/>
            <w:shd w:fill="EAF1F1" w:val="clear"/>
            <w:tcMar>
              <w:top w:type="dxa" w:w="100"/>
              <w:left w:type="dxa" w:w="120"/>
              <w:bottom w:type="dxa" w:w="100"/>
              <w:right w:type="dxa" w:w="120"/>
            </w:tcMar>
            <w:vAlign w:val="center"/>
          </w:tcPr>
          <w:p>
            <w:r>
              <w:rPr>
                <w:b/>
                <w:bCs/>
                <w:color w:val="262626"/>
                <w:sz w:val="20"/>
                <w:szCs w:val="20"/>
              </w:rPr>
              <w:t xml:space="preserve">Media &amp; Alat</w:t>
            </w:r>
          </w:p>
        </w:tc>
        <w:tc>
          <w:tcPr>
            <w:tcW w:type="dxa" w:w="6200"/>
            <w:tcMar>
              <w:top w:type="dxa" w:w="100"/>
              <w:left w:type="dxa" w:w="120"/>
              <w:bottom w:type="dxa" w:w="100"/>
              <w:right w:type="dxa" w:w="120"/>
            </w:tcMar>
            <w:vAlign w:val="center"/>
          </w:tcPr>
          <w:p>
            <w:r>
              <w:rPr>
                <w:b w:val="false"/>
                <w:bCs w:val="false"/>
                <w:color w:val="262626"/>
                <w:sz w:val="20"/>
                <w:szCs w:val="20"/>
              </w:rPr>
              <w:t xml:space="preserve">Lembar kasus, manekin/model latih, tensimeter, termometer, stetoskop, LKPD</w:t>
            </w:r>
          </w:p>
        </w:tc>
      </w:tr>
      <w:tr>
        <w:tc>
          <w:tcPr>
            <w:tcW w:type="dxa" w:w="2400"/>
            <w:shd w:fill="EAF1F1" w:val="clear"/>
            <w:tcMar>
              <w:top w:type="dxa" w:w="100"/>
              <w:left w:type="dxa" w:w="120"/>
              <w:bottom w:type="dxa" w:w="100"/>
              <w:right w:type="dxa" w:w="120"/>
            </w:tcMar>
            <w:vAlign w:val="center"/>
          </w:tcPr>
          <w:p>
            <w:r>
              <w:rPr>
                <w:b/>
                <w:bCs/>
                <w:color w:val="262626"/>
                <w:sz w:val="20"/>
                <w:szCs w:val="20"/>
              </w:rPr>
              <w:t xml:space="preserve">Asesmen</w:t>
            </w:r>
          </w:p>
        </w:tc>
        <w:tc>
          <w:tcPr>
            <w:tcW w:type="dxa" w:w="6200"/>
            <w:tcMar>
              <w:top w:type="dxa" w:w="100"/>
              <w:left w:type="dxa" w:w="120"/>
              <w:bottom w:type="dxa" w:w="100"/>
              <w:right w:type="dxa" w:w="120"/>
            </w:tcMar>
            <w:vAlign w:val="center"/>
          </w:tcPr>
          <w:p>
            <w:r>
              <w:rPr>
                <w:b w:val="false"/>
                <w:bCs w:val="false"/>
                <w:color w:val="262626"/>
                <w:sz w:val="20"/>
                <w:szCs w:val="20"/>
              </w:rPr>
              <w:t xml:space="preserve">Asesmen formatif (observasi diskusi &amp; unjuk kerja praktik) dan asesmen sumatif (laporan kasus dan presentasi kelompok)</w:t>
            </w:r>
          </w:p>
        </w:tc>
      </w:tr>
    </w:tbl>
    <w:p>
      <w:pPr>
        <w:spacing w:after="200"/>
      </w:pPr>
    </w:p>
    <w:p>
      <w:r>
        <w:br w:type="page"/>
      </w:r>
    </w:p>
    <w:p>
      <w:pPr>
        <w:pStyle w:val="Heading1"/>
        <w:pBdr>
          <w:bottom w:val="single" w:color="1F6F6F" w:sz="8" w:space="4"/>
        </w:pBdr>
        <w:spacing w:after="200" w:before="420"/>
      </w:pPr>
      <w:r>
        <w:rPr>
          <w:b/>
          <w:bCs/>
          <w:color w:val="1F3864"/>
          <w:sz w:val="30"/>
          <w:szCs w:val="30"/>
        </w:rPr>
        <w:t xml:space="preserve">G. Peran Guru dan Siswa dalam PBL</w:t>
      </w:r>
    </w:p>
    <w:p>
      <w:pPr>
        <w:pStyle w:val="Heading2"/>
        <w:spacing w:after="120" w:before="260"/>
      </w:pPr>
      <w:r>
        <w:rPr>
          <w:b/>
          <w:bCs/>
          <w:color w:val="1F6F6F"/>
          <w:sz w:val="25"/>
          <w:szCs w:val="25"/>
        </w:rPr>
        <w:t xml:space="preserve">Peran Guru sebagai Fasilitator</w:t>
      </w:r>
    </w:p>
    <w:p>
      <w:pPr>
        <w:pStyle w:val="ListParagraph"/>
        <w:numPr>
          <w:ilvl w:val="0"/>
          <w:numId w:val="3"/>
        </w:numPr>
        <w:spacing w:after="90" w:line="290"/>
      </w:pPr>
      <w:r>
        <w:rPr>
          <w:color w:val="262626"/>
          <w:sz w:val="22"/>
          <w:szCs w:val="22"/>
        </w:rPr>
        <w:t xml:space="preserve">Merancang dan memilih masalah/kasus yang relevan dan kontekstual.</w:t>
      </w:r>
    </w:p>
    <w:p>
      <w:pPr>
        <w:pStyle w:val="ListParagraph"/>
        <w:numPr>
          <w:ilvl w:val="0"/>
          <w:numId w:val="3"/>
        </w:numPr>
        <w:spacing w:after="90" w:line="290"/>
      </w:pPr>
      <w:r>
        <w:rPr>
          <w:color w:val="262626"/>
          <w:sz w:val="22"/>
          <w:szCs w:val="22"/>
        </w:rPr>
        <w:t xml:space="preserve">Membimbing proses diskusi tanpa memberikan jawaban langsung.</w:t>
      </w:r>
    </w:p>
    <w:p>
      <w:pPr>
        <w:pStyle w:val="ListParagraph"/>
        <w:numPr>
          <w:ilvl w:val="0"/>
          <w:numId w:val="3"/>
        </w:numPr>
        <w:spacing w:after="90" w:line="290"/>
      </w:pPr>
      <w:r>
        <w:rPr>
          <w:color w:val="262626"/>
          <w:sz w:val="22"/>
          <w:szCs w:val="22"/>
        </w:rPr>
        <w:t xml:space="preserve">Memberikan scaffolding (bantuan bertahap) sesuai kebutuhan siswa.</w:t>
      </w:r>
    </w:p>
    <w:p>
      <w:pPr>
        <w:pStyle w:val="ListParagraph"/>
        <w:numPr>
          <w:ilvl w:val="0"/>
          <w:numId w:val="3"/>
        </w:numPr>
        <w:spacing w:after="90" w:line="290"/>
      </w:pPr>
      <w:r>
        <w:rPr>
          <w:color w:val="262626"/>
          <w:sz w:val="22"/>
          <w:szCs w:val="22"/>
        </w:rPr>
        <w:t xml:space="preserve">Melakukan asesmen proses maupun hasil belajar.</w:t>
      </w:r>
    </w:p>
    <w:p>
      <w:pPr>
        <w:pStyle w:val="Heading2"/>
        <w:spacing w:after="120" w:before="260"/>
      </w:pPr>
      <w:r>
        <w:rPr>
          <w:b/>
          <w:bCs/>
          <w:color w:val="1F6F6F"/>
          <w:sz w:val="25"/>
          <w:szCs w:val="25"/>
        </w:rPr>
        <w:t xml:space="preserve">Peran Siswa sebagai Pembelajar Aktif</w:t>
      </w:r>
    </w:p>
    <w:p>
      <w:pPr>
        <w:pStyle w:val="ListParagraph"/>
        <w:numPr>
          <w:ilvl w:val="0"/>
          <w:numId w:val="3"/>
        </w:numPr>
        <w:spacing w:after="90" w:line="290"/>
      </w:pPr>
      <w:r>
        <w:rPr>
          <w:color w:val="262626"/>
          <w:sz w:val="22"/>
          <w:szCs w:val="22"/>
        </w:rPr>
        <w:t xml:space="preserve">Menganalisis masalah secara kritis dan sistematis.</w:t>
      </w:r>
    </w:p>
    <w:p>
      <w:pPr>
        <w:pStyle w:val="ListParagraph"/>
        <w:numPr>
          <w:ilvl w:val="0"/>
          <w:numId w:val="3"/>
        </w:numPr>
        <w:spacing w:after="90" w:line="290"/>
      </w:pPr>
      <w:r>
        <w:rPr>
          <w:color w:val="262626"/>
          <w:sz w:val="22"/>
          <w:szCs w:val="22"/>
        </w:rPr>
        <w:t xml:space="preserve">Mencari dan mengolah informasi dari berbagai sumber.</w:t>
      </w:r>
    </w:p>
    <w:p>
      <w:pPr>
        <w:pStyle w:val="ListParagraph"/>
        <w:numPr>
          <w:ilvl w:val="0"/>
          <w:numId w:val="3"/>
        </w:numPr>
        <w:spacing w:after="90" w:line="290"/>
      </w:pPr>
      <w:r>
        <w:rPr>
          <w:color w:val="262626"/>
          <w:sz w:val="22"/>
          <w:szCs w:val="22"/>
        </w:rPr>
        <w:t xml:space="preserve">Berkolaborasi dan berkomunikasi dalam kelompok.</w:t>
      </w:r>
    </w:p>
    <w:p>
      <w:pPr>
        <w:pStyle w:val="ListParagraph"/>
        <w:numPr>
          <w:ilvl w:val="0"/>
          <w:numId w:val="3"/>
        </w:numPr>
        <w:spacing w:after="90" w:line="290"/>
      </w:pPr>
      <w:r>
        <w:rPr>
          <w:color w:val="262626"/>
          <w:sz w:val="22"/>
          <w:szCs w:val="22"/>
        </w:rPr>
        <w:t xml:space="preserve">Merefleksikan proses belajar dan hasil pemecahan masalah.</w:t>
      </w:r>
    </w:p>
    <w:p>
      <w:pPr>
        <w:pStyle w:val="Heading1"/>
        <w:pBdr>
          <w:bottom w:val="single" w:color="1F6F6F" w:sz="8" w:space="4"/>
        </w:pBdr>
        <w:spacing w:after="200" w:before="420"/>
      </w:pPr>
      <w:r>
        <w:rPr>
          <w:b/>
          <w:bCs/>
          <w:color w:val="1F3864"/>
          <w:sz w:val="30"/>
          <w:szCs w:val="30"/>
        </w:rPr>
        <w:t xml:space="preserve">H. Kelebihan dan Tantangan PBL</w:t>
      </w:r>
    </w:p>
    <w:p>
      <w:pPr>
        <w:pStyle w:val="Heading2"/>
        <w:spacing w:after="120" w:before="260"/>
      </w:pPr>
      <w:r>
        <w:rPr>
          <w:b/>
          <w:bCs/>
          <w:color w:val="1F6F6F"/>
          <w:sz w:val="25"/>
          <w:szCs w:val="25"/>
        </w:rPr>
        <w:t xml:space="preserve">Kelebihan</w:t>
      </w:r>
    </w:p>
    <w:p>
      <w:pPr>
        <w:pStyle w:val="ListParagraph"/>
        <w:numPr>
          <w:ilvl w:val="0"/>
          <w:numId w:val="3"/>
        </w:numPr>
        <w:spacing w:after="90" w:line="290"/>
      </w:pPr>
      <w:r>
        <w:rPr>
          <w:color w:val="262626"/>
          <w:sz w:val="22"/>
          <w:szCs w:val="22"/>
        </w:rPr>
        <w:t xml:space="preserve">Meningkatkan kemampuan berpikir kritis dan clinical reasoning.</w:t>
      </w:r>
    </w:p>
    <w:p>
      <w:pPr>
        <w:pStyle w:val="ListParagraph"/>
        <w:numPr>
          <w:ilvl w:val="0"/>
          <w:numId w:val="3"/>
        </w:numPr>
        <w:spacing w:after="90" w:line="290"/>
      </w:pPr>
      <w:r>
        <w:rPr>
          <w:color w:val="262626"/>
          <w:sz w:val="22"/>
          <w:szCs w:val="22"/>
        </w:rPr>
        <w:t xml:space="preserve">Meningkatkan motivasi belajar karena masalah bersifat kontekstual.</w:t>
      </w:r>
    </w:p>
    <w:p>
      <w:pPr>
        <w:pStyle w:val="ListParagraph"/>
        <w:numPr>
          <w:ilvl w:val="0"/>
          <w:numId w:val="3"/>
        </w:numPr>
        <w:spacing w:after="90" w:line="290"/>
      </w:pPr>
      <w:r>
        <w:rPr>
          <w:color w:val="262626"/>
          <w:sz w:val="22"/>
          <w:szCs w:val="22"/>
        </w:rPr>
        <w:t xml:space="preserve">Melatih kemampuan kolaborasi dan komunikasi tim.</w:t>
      </w:r>
    </w:p>
    <w:p>
      <w:pPr>
        <w:pStyle w:val="ListParagraph"/>
        <w:numPr>
          <w:ilvl w:val="0"/>
          <w:numId w:val="3"/>
        </w:numPr>
        <w:spacing w:after="90" w:line="290"/>
      </w:pPr>
      <w:r>
        <w:rPr>
          <w:color w:val="262626"/>
          <w:sz w:val="22"/>
          <w:szCs w:val="22"/>
        </w:rPr>
        <w:t xml:space="preserve">Mempersiapkan siswa menghadapi situasi nyata di dunia kerja keperawatan.</w:t>
      </w:r>
    </w:p>
    <w:p>
      <w:pPr>
        <w:pStyle w:val="Heading2"/>
        <w:spacing w:after="120" w:before="260"/>
      </w:pPr>
      <w:r>
        <w:rPr>
          <w:b/>
          <w:bCs/>
          <w:color w:val="1F6F6F"/>
          <w:sz w:val="25"/>
          <w:szCs w:val="25"/>
        </w:rPr>
        <w:t xml:space="preserve">Tantangan</w:t>
      </w:r>
    </w:p>
    <w:p>
      <w:pPr>
        <w:pStyle w:val="ListParagraph"/>
        <w:numPr>
          <w:ilvl w:val="0"/>
          <w:numId w:val="3"/>
        </w:numPr>
        <w:spacing w:after="90" w:line="290"/>
      </w:pPr>
      <w:r>
        <w:rPr>
          <w:color w:val="262626"/>
          <w:sz w:val="22"/>
          <w:szCs w:val="22"/>
        </w:rPr>
        <w:t xml:space="preserve">Membutuhkan waktu persiapan dan pelaksanaan yang lebih panjang.</w:t>
      </w:r>
    </w:p>
    <w:p>
      <w:pPr>
        <w:pStyle w:val="ListParagraph"/>
        <w:numPr>
          <w:ilvl w:val="0"/>
          <w:numId w:val="3"/>
        </w:numPr>
        <w:spacing w:after="90" w:line="290"/>
      </w:pPr>
      <w:r>
        <w:rPr>
          <w:color w:val="262626"/>
          <w:sz w:val="22"/>
          <w:szCs w:val="22"/>
        </w:rPr>
        <w:t xml:space="preserve">Guru perlu keterampilan fasilitasi yang memadai.</w:t>
      </w:r>
    </w:p>
    <w:p>
      <w:pPr>
        <w:pStyle w:val="ListParagraph"/>
        <w:numPr>
          <w:ilvl w:val="0"/>
          <w:numId w:val="3"/>
        </w:numPr>
        <w:spacing w:after="90" w:line="290"/>
      </w:pPr>
      <w:r>
        <w:rPr>
          <w:color w:val="262626"/>
          <w:sz w:val="22"/>
          <w:szCs w:val="22"/>
        </w:rPr>
        <w:t xml:space="preserve">Diperlukan kesiapan sumber belajar dan sarana simulasi/praktik.</w:t>
      </w:r>
    </w:p>
    <w:p>
      <w:pPr>
        <w:pStyle w:val="ListParagraph"/>
        <w:numPr>
          <w:ilvl w:val="0"/>
          <w:numId w:val="3"/>
        </w:numPr>
        <w:spacing w:after="90" w:line="290"/>
      </w:pPr>
      <w:r>
        <w:rPr>
          <w:color w:val="262626"/>
          <w:sz w:val="22"/>
          <w:szCs w:val="22"/>
        </w:rPr>
        <w:t xml:space="preserve">Siswa dengan kemandirian belajar rendah memerlukan bimbingan ekstra di awal.</w:t>
      </w:r>
    </w:p>
    <w:p>
      <w:pPr>
        <w:pStyle w:val="Heading1"/>
        <w:pBdr>
          <w:bottom w:val="single" w:color="1F6F6F" w:sz="8" w:space="4"/>
        </w:pBdr>
        <w:spacing w:after="200" w:before="420"/>
      </w:pPr>
      <w:r>
        <w:rPr>
          <w:b/>
          <w:bCs/>
          <w:color w:val="1F3864"/>
          <w:sz w:val="30"/>
          <w:szCs w:val="30"/>
        </w:rPr>
        <w:t xml:space="preserve">I. Asesmen dalam Pembelajaran Berbasis PBL</w:t>
      </w:r>
    </w:p>
    <w:p>
      <w:pPr>
        <w:spacing w:after="160" w:line="300"/>
        <w:jc w:val="both"/>
      </w:pPr>
      <w:r>
        <w:rPr>
          <w:color w:val="262626"/>
          <w:sz w:val="22"/>
          <w:szCs w:val="22"/>
        </w:rPr>
        <w:t xml:space="preserve">Asesmen pada model PBL sebaiknya bersifat autentik dan berkelanjutan, mencakup proses maupun produk belajar, antara lain:</w:t>
      </w:r>
    </w:p>
    <w:p>
      <w:pPr>
        <w:pStyle w:val="ListParagraph"/>
        <w:numPr>
          <w:ilvl w:val="0"/>
          <w:numId w:val="3"/>
        </w:numPr>
        <w:spacing w:after="90" w:line="290"/>
      </w:pPr>
      <w:r>
        <w:rPr>
          <w:color w:val="262626"/>
          <w:sz w:val="22"/>
          <w:szCs w:val="22"/>
        </w:rPr>
        <w:t xml:space="preserve">Asesmen diagnostik — mengidentifikasi kesiapan awal siswa terhadap topik/kasus.</w:t>
      </w:r>
    </w:p>
    <w:p>
      <w:pPr>
        <w:pStyle w:val="ListParagraph"/>
        <w:numPr>
          <w:ilvl w:val="0"/>
          <w:numId w:val="3"/>
        </w:numPr>
        <w:spacing w:after="90" w:line="290"/>
      </w:pPr>
      <w:r>
        <w:rPr>
          <w:color w:val="262626"/>
          <w:sz w:val="22"/>
          <w:szCs w:val="22"/>
        </w:rPr>
        <w:t xml:space="preserve">Asesmen formatif — observasi selama diskusi kelompok dan proses penyelidikan.</w:t>
      </w:r>
    </w:p>
    <w:p>
      <w:pPr>
        <w:pStyle w:val="ListParagraph"/>
        <w:numPr>
          <w:ilvl w:val="0"/>
          <w:numId w:val="3"/>
        </w:numPr>
        <w:spacing w:after="90" w:line="290"/>
      </w:pPr>
      <w:r>
        <w:rPr>
          <w:color w:val="262626"/>
          <w:sz w:val="22"/>
          <w:szCs w:val="22"/>
        </w:rPr>
        <w:t xml:space="preserve">Asesmen unjuk kerja (praktik) — penilaian keterampilan prosedural, misalnya pemeriksaan tanda vital.</w:t>
      </w:r>
    </w:p>
    <w:p>
      <w:pPr>
        <w:pStyle w:val="ListParagraph"/>
        <w:numPr>
          <w:ilvl w:val="0"/>
          <w:numId w:val="3"/>
        </w:numPr>
        <w:spacing w:after="90" w:line="290"/>
      </w:pPr>
      <w:r>
        <w:rPr>
          <w:color w:val="262626"/>
          <w:sz w:val="22"/>
          <w:szCs w:val="22"/>
        </w:rPr>
        <w:t xml:space="preserve">Asesmen sumatif — laporan kasus, presentasi hasil, dan refleksi akhir pembelajaran.</w:t>
      </w:r>
    </w:p>
    <w:p>
      <w:pPr>
        <w:pStyle w:val="Heading1"/>
        <w:pBdr>
          <w:bottom w:val="single" w:color="1F6F6F" w:sz="8" w:space="4"/>
        </w:pBdr>
        <w:spacing w:after="200" w:before="420"/>
      </w:pPr>
      <w:r>
        <w:rPr>
          <w:b/>
          <w:bCs/>
          <w:color w:val="1F3864"/>
          <w:sz w:val="30"/>
          <w:szCs w:val="30"/>
        </w:rPr>
        <w:t xml:space="preserve">J. Kesimpulan</w:t>
      </w:r>
    </w:p>
    <w:p>
      <w:pPr>
        <w:spacing w:after="160" w:line="300"/>
        <w:jc w:val="both"/>
      </w:pPr>
      <w:r>
        <w:rPr>
          <w:color w:val="262626"/>
          <w:sz w:val="22"/>
          <w:szCs w:val="22"/>
        </w:rPr>
        <w:t xml:space="preserve">Desain pembelajaran keperawatan berbasis Problem-Based Learning memberikan ruang bagi siswa untuk belajar secara aktif, kontekstual, dan bermakna melalui kasus-kasus nyata di bidang layanan kesehatan. Penerapan PBL yang terstruktur — mulai dari orientasi masalah hingga evaluasi — dapat meningkatkan kemampuan berpikir kritis, keterampilan praktik, serta kesiapan siswa Kelas X Keperawatan dalam menghadapi tantangan dunia kerja di bidang kesehatan.</w:t>
      </w:r>
    </w:p>
    <w:p>
      <w:pPr>
        <w:pStyle w:val="Heading1"/>
        <w:pBdr>
          <w:bottom w:val="single" w:color="1F6F6F" w:sz="8" w:space="4"/>
        </w:pBdr>
        <w:spacing w:after="200" w:before="420"/>
      </w:pPr>
      <w:r>
        <w:rPr>
          <w:b/>
          <w:bCs/>
          <w:color w:val="1F3864"/>
          <w:sz w:val="30"/>
          <w:szCs w:val="30"/>
        </w:rPr>
        <w:t xml:space="preserve">Daftar Pustaka</w:t>
      </w:r>
    </w:p>
    <w:p>
      <w:pPr>
        <w:spacing w:after="160" w:line="300"/>
        <w:jc w:val="both"/>
      </w:pPr>
      <w:r>
        <w:rPr>
          <w:color w:val="262626"/>
          <w:sz w:val="22"/>
          <w:szCs w:val="22"/>
        </w:rPr>
        <w:t xml:space="preserve">Barrows, H. S. (1996). Problem-based learning in medicine and beyond: A brief overview. New Directions for Teaching and Learning.</w:t>
      </w:r>
    </w:p>
    <w:p>
      <w:pPr>
        <w:spacing w:after="160" w:line="300"/>
        <w:jc w:val="both"/>
      </w:pPr>
      <w:r>
        <w:rPr>
          <w:color w:val="262626"/>
          <w:sz w:val="22"/>
          <w:szCs w:val="22"/>
        </w:rPr>
        <w:t xml:space="preserve">Hmelo-Silver, C. E. (2004). Problem-based learning: What and how do students learn? Educational Psychology Review.</w:t>
      </w:r>
    </w:p>
    <w:p>
      <w:pPr>
        <w:spacing w:after="160" w:line="300"/>
        <w:jc w:val="both"/>
      </w:pPr>
      <w:r>
        <w:rPr>
          <w:color w:val="262626"/>
          <w:sz w:val="22"/>
          <w:szCs w:val="22"/>
        </w:rPr>
        <w:t xml:space="preserve">Kolb, D. A. (1984). Experiential Learning: Experience as the Source of Learning and Development. Prentice-Hall.</w:t>
      </w:r>
    </w:p>
    <w:p>
      <w:pPr>
        <w:spacing w:after="160" w:line="300"/>
        <w:jc w:val="both"/>
      </w:pPr>
      <w:r>
        <w:rPr>
          <w:color w:val="262626"/>
          <w:sz w:val="22"/>
          <w:szCs w:val="22"/>
        </w:rPr>
        <w:t xml:space="preserve">Kemendikbudristek. (2022). Panduan Pembelajaran dan Asesmen Kurikulum Merdeka pada Pendidikan Vokasi.</w:t>
      </w:r>
    </w:p>
    <w:sectPr>
      <w:pgSz w:w="11906" w:h="16838" w:orient="portrait"/>
      <w:pgMar w:top="1100" w:right="1200" w:bottom="11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60"/>
      </w:pPr>
      <w:rPr>
        <w:color w:val="1F6F6F"/>
      </w:rPr>
    </w:lvl>
    <w:lvl w:ilvl="1" w15:tentative="1">
      <w:start w:val="1"/>
      <w:numFmt w:val="bullet"/>
      <w:lvlText w:val="○"/>
      <w:lvlJc w:val="left"/>
      <w:pPr>
        <w:ind w:left="860" w:hanging="260"/>
      </w:pPr>
    </w:lvl>
  </w:abstractNum>
  <w:abstractNum w:abstractNumId="3" w15:restartNumberingAfterBreak="0">
    <w:multiLevelType w:val="hybridMultilevel"/>
    <w:lvl w:ilvl="0" w15:tentative="1">
      <w:start w:val="1"/>
      <w:numFmt w:val="decimal"/>
      <w:lvlText w:val="%1."/>
      <w:lvlJc w:val="left"/>
      <w:pPr>
        <w:ind w:left="48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2026-08-11T15:27:23.236Z</dcterms:created>
  <dcterms:modified xsi:type="dcterms:W3CDTF">2026-08-11T15:27:23.263Z</dcterms:modified>
</cp:coreProperties>
</file>

<file path=docProps/custom.xml><?xml version="1.0" encoding="utf-8"?>
<Properties xmlns="http://schemas.openxmlformats.org/officeDocument/2006/custom-properties" xmlns:vt="http://schemas.openxmlformats.org/officeDocument/2006/docPropsVTypes"/>
</file>