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251B8">
      <w:pPr>
        <w:spacing w:after="40"/>
        <w:jc w:val="center"/>
      </w:pPr>
      <w:r>
        <w:rPr>
          <w:rFonts w:ascii="Calibri" w:hAnsi="Calibri" w:eastAsia="Calibri" w:cs="Calibri"/>
          <w:b/>
          <w:bCs/>
          <w:sz w:val="30"/>
          <w:szCs w:val="30"/>
        </w:rPr>
        <w:t>KISI-KISI SOAL TES KEMAMPUAN AKADEMIK (TKA) HOTS</w:t>
      </w:r>
    </w:p>
    <w:p w14:paraId="2EC251B9">
      <w:pPr>
        <w:spacing w:after="20"/>
        <w:jc w:val="center"/>
      </w:pPr>
      <w:r>
        <w:rPr>
          <w:rFonts w:ascii="Calibri" w:hAnsi="Calibri" w:eastAsia="Calibri" w:cs="Calibri"/>
          <w:b/>
          <w:bCs/>
          <w:color w:val="1F4E5F"/>
          <w:sz w:val="26"/>
          <w:szCs w:val="26"/>
        </w:rPr>
        <w:t>Mata Pelajaran Biologi — Jenjang SMA Fase E/F</w:t>
      </w:r>
    </w:p>
    <w:p w14:paraId="2EC251BA">
      <w:pPr>
        <w:spacing w:after="240"/>
        <w:jc w:val="center"/>
        <w:rPr>
          <w:rFonts w:ascii="Calibri" w:hAnsi="Calibri" w:eastAsia="Calibri" w:cs="Calibri"/>
          <w:i/>
          <w:iCs/>
          <w:color w:val="555555"/>
        </w:rPr>
      </w:pPr>
      <w:r>
        <w:rPr>
          <w:rFonts w:ascii="Calibri" w:hAnsi="Calibri" w:eastAsia="Calibri" w:cs="Calibri"/>
          <w:i/>
          <w:iCs/>
          <w:color w:val="555555"/>
        </w:rPr>
        <w:t>Level Kognitif L3 (Penalaran) — C4 s.d. C6  |  Jumlah Soal: 10 (PG dan PG Kompleks)</w:t>
      </w:r>
    </w:p>
    <w:p w14:paraId="7BB9CA65">
      <w:pPr>
        <w:rPr>
          <w:rFonts w:hint="default"/>
          <w:sz w:val="22"/>
          <w:lang w:val="en-US"/>
        </w:rPr>
      </w:pPr>
      <w:r>
        <w:rPr>
          <w:sz w:val="22"/>
        </w:rPr>
        <w:t>Nama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 xml:space="preserve">: </w:t>
      </w:r>
      <w:r>
        <w:rPr>
          <w:rFonts w:hint="default"/>
          <w:sz w:val="22"/>
          <w:lang w:val="en-US"/>
        </w:rPr>
        <w:t>Abraham Al-Azis Insan, S.Pd</w:t>
      </w:r>
    </w:p>
    <w:p w14:paraId="70227AAB">
      <w:pPr>
        <w:rPr>
          <w:rFonts w:hint="default"/>
          <w:sz w:val="22"/>
          <w:lang w:val="en-US"/>
        </w:rPr>
      </w:pPr>
      <w:r>
        <w:rPr>
          <w:sz w:val="22"/>
        </w:rPr>
        <w:t>NIP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: 19</w:t>
      </w:r>
      <w:r>
        <w:rPr>
          <w:rFonts w:hint="default"/>
          <w:sz w:val="22"/>
          <w:lang w:val="en-US"/>
        </w:rPr>
        <w:t>9204092019031006</w:t>
      </w:r>
    </w:p>
    <w:p w14:paraId="0FF0DD03">
      <w:pPr>
        <w:rPr>
          <w:rFonts w:hint="default"/>
          <w:sz w:val="22"/>
          <w:lang w:val="en-US"/>
        </w:rPr>
      </w:pPr>
      <w:r>
        <w:rPr>
          <w:sz w:val="22"/>
        </w:rPr>
        <w:t>Sekolah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 xml:space="preserve">: SMA Negeri </w:t>
      </w:r>
      <w:r>
        <w:rPr>
          <w:rFonts w:hint="default"/>
          <w:sz w:val="22"/>
          <w:lang w:val="en-US"/>
        </w:rPr>
        <w:t>1 Ketambe</w:t>
      </w:r>
    </w:p>
    <w:p w14:paraId="332E3778">
      <w:pPr>
        <w:spacing w:after="240"/>
        <w:jc w:val="left"/>
        <w:rPr>
          <w:rFonts w:ascii="Calibri" w:hAnsi="Calibri" w:eastAsia="Calibri" w:cs="Calibri"/>
          <w:i/>
          <w:iCs/>
          <w:color w:val="555555"/>
        </w:rPr>
      </w:pPr>
      <w:bookmarkStart w:id="0" w:name="_GoBack"/>
      <w:bookmarkEnd w:id="0"/>
    </w:p>
    <w:p w14:paraId="25E83EFD"/>
    <w:tbl>
      <w:tblPr>
        <w:tblStyle w:val="9"/>
        <w:tblW w:w="153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42"/>
        <w:gridCol w:w="2494"/>
        <w:gridCol w:w="2819"/>
        <w:gridCol w:w="2385"/>
        <w:gridCol w:w="3470"/>
        <w:gridCol w:w="1518"/>
        <w:gridCol w:w="1409"/>
        <w:gridCol w:w="759"/>
      </w:tblGrid>
      <w:tr w14:paraId="2EC25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atLeast"/>
          <w:tblHeader/>
        </w:trPr>
        <w:tc>
          <w:tcPr>
            <w:tcW w:w="542" w:type="dxa"/>
            <w:shd w:val="clear" w:color="auto" w:fill="F7CAAC" w:themeFill="accent2" w:themeFillTint="66"/>
            <w:vAlign w:val="center"/>
          </w:tcPr>
          <w:p w14:paraId="2EC251BB">
            <w:pPr>
              <w:jc w:val="center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auto"/>
                <w:sz w:val="22"/>
                <w:szCs w:val="22"/>
              </w:rPr>
              <w:t>No</w:t>
            </w:r>
          </w:p>
        </w:tc>
        <w:tc>
          <w:tcPr>
            <w:tcW w:w="2494" w:type="dxa"/>
            <w:shd w:val="clear" w:color="auto" w:fill="F7CAAC" w:themeFill="accent2" w:themeFillTint="66"/>
            <w:vAlign w:val="center"/>
          </w:tcPr>
          <w:p w14:paraId="2EC251BC">
            <w:pPr>
              <w:jc w:val="center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auto"/>
                <w:sz w:val="22"/>
                <w:szCs w:val="22"/>
              </w:rPr>
              <w:t>Elemen</w:t>
            </w:r>
          </w:p>
        </w:tc>
        <w:tc>
          <w:tcPr>
            <w:tcW w:w="2819" w:type="dxa"/>
            <w:shd w:val="clear" w:color="auto" w:fill="F7CAAC" w:themeFill="accent2" w:themeFillTint="66"/>
            <w:vAlign w:val="center"/>
          </w:tcPr>
          <w:p w14:paraId="2EC251BD">
            <w:pPr>
              <w:jc w:val="center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auto"/>
                <w:sz w:val="22"/>
                <w:szCs w:val="22"/>
              </w:rPr>
              <w:t>Tujuan Pembelajaran</w:t>
            </w:r>
          </w:p>
        </w:tc>
        <w:tc>
          <w:tcPr>
            <w:tcW w:w="2385" w:type="dxa"/>
            <w:shd w:val="clear" w:color="auto" w:fill="F7CAAC" w:themeFill="accent2" w:themeFillTint="66"/>
            <w:vAlign w:val="center"/>
          </w:tcPr>
          <w:p w14:paraId="2EC251BE">
            <w:pPr>
              <w:jc w:val="center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auto"/>
                <w:sz w:val="22"/>
                <w:szCs w:val="22"/>
              </w:rPr>
              <w:t>Lingkup Materi</w:t>
            </w:r>
          </w:p>
        </w:tc>
        <w:tc>
          <w:tcPr>
            <w:tcW w:w="3470" w:type="dxa"/>
            <w:shd w:val="clear" w:color="auto" w:fill="F7CAAC" w:themeFill="accent2" w:themeFillTint="66"/>
            <w:vAlign w:val="center"/>
          </w:tcPr>
          <w:p w14:paraId="2EC251BF">
            <w:pPr>
              <w:jc w:val="center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auto"/>
                <w:sz w:val="22"/>
                <w:szCs w:val="22"/>
              </w:rPr>
              <w:t>Indikator Soal</w:t>
            </w:r>
          </w:p>
        </w:tc>
        <w:tc>
          <w:tcPr>
            <w:tcW w:w="1518" w:type="dxa"/>
            <w:shd w:val="clear" w:color="auto" w:fill="F7CAAC" w:themeFill="accent2" w:themeFillTint="66"/>
            <w:vAlign w:val="center"/>
          </w:tcPr>
          <w:p w14:paraId="2EC251C0">
            <w:pPr>
              <w:jc w:val="center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auto"/>
                <w:sz w:val="22"/>
                <w:szCs w:val="22"/>
              </w:rPr>
              <w:t>Level Kognitif</w:t>
            </w:r>
          </w:p>
        </w:tc>
        <w:tc>
          <w:tcPr>
            <w:tcW w:w="1409" w:type="dxa"/>
            <w:shd w:val="clear" w:color="auto" w:fill="F7CAAC" w:themeFill="accent2" w:themeFillTint="66"/>
            <w:vAlign w:val="center"/>
          </w:tcPr>
          <w:p w14:paraId="2EC251C1">
            <w:pPr>
              <w:jc w:val="center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auto"/>
                <w:sz w:val="22"/>
                <w:szCs w:val="22"/>
              </w:rPr>
              <w:t>Bentuk Soal</w:t>
            </w:r>
          </w:p>
        </w:tc>
        <w:tc>
          <w:tcPr>
            <w:tcW w:w="759" w:type="dxa"/>
            <w:shd w:val="clear" w:color="auto" w:fill="F7CAAC" w:themeFill="accent2" w:themeFillTint="66"/>
            <w:vAlign w:val="center"/>
          </w:tcPr>
          <w:p w14:paraId="2EC251C2">
            <w:pPr>
              <w:jc w:val="center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auto"/>
                <w:sz w:val="22"/>
                <w:szCs w:val="22"/>
              </w:rPr>
              <w:t>No. Soal</w:t>
            </w:r>
          </w:p>
        </w:tc>
      </w:tr>
      <w:tr w14:paraId="2EC25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03" w:hRule="atLeast"/>
        </w:trPr>
        <w:tc>
          <w:tcPr>
            <w:tcW w:w="542" w:type="dxa"/>
            <w:vAlign w:val="center"/>
          </w:tcPr>
          <w:p w14:paraId="2EC251C4">
            <w:pPr>
              <w:spacing w:after="6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sz w:val="22"/>
                <w:szCs w:val="22"/>
              </w:rPr>
              <w:t>1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2EC251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Sistem Koordinasi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2EC251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Menganalisis peran sistem imun terhadap kekebalan tubuh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2EC251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Sistem Imun</w:t>
            </w:r>
          </w:p>
        </w:tc>
        <w:tc>
          <w:tcPr>
            <w:tcW w:w="3470" w:type="dxa"/>
            <w:shd w:val="clear" w:color="auto" w:fill="auto"/>
            <w:vAlign w:val="center"/>
          </w:tcPr>
          <w:p w14:paraId="2EC251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Disajikan kasus seseorang yang mengalami infeksi setelah vaksinasi, peserta didik menganalisis mekanisme respons imun yang terjadi serta menentukan penyebab kegagalan pembentukan antibodi.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2EC251C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C4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2EC251C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PG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2EC251C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</w:tr>
      <w:tr w14:paraId="2EC25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03" w:hRule="atLeast"/>
        </w:trPr>
        <w:tc>
          <w:tcPr>
            <w:tcW w:w="542" w:type="dxa"/>
            <w:vAlign w:val="center"/>
          </w:tcPr>
          <w:p w14:paraId="2EC251CD">
            <w:pPr>
              <w:spacing w:after="6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sz w:val="22"/>
                <w:szCs w:val="22"/>
              </w:rPr>
              <w:t>2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2EC251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Sistem Koordinasi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2EC251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Menganalisis peran sistem imun terhadap kekebalan tubuh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2EC251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Kekebalan Tubuh</w:t>
            </w:r>
          </w:p>
        </w:tc>
        <w:tc>
          <w:tcPr>
            <w:tcW w:w="3470" w:type="dxa"/>
            <w:shd w:val="clear" w:color="auto" w:fill="auto"/>
            <w:vAlign w:val="center"/>
          </w:tcPr>
          <w:p w14:paraId="2EC251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Disajikan beberapa pernyataan mengenai kekebalan aktif, pasif, alami, dan buatan, peserta didik menentukan kombinasi pernyataan yang benar berdasarkan mekanisme kerja sistem imun.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2EC251D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C5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2EC251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PG Kompleks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2EC251D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</w:tr>
      <w:tr w14:paraId="2EC25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57" w:hRule="atLeast"/>
        </w:trPr>
        <w:tc>
          <w:tcPr>
            <w:tcW w:w="542" w:type="dxa"/>
            <w:vAlign w:val="center"/>
          </w:tcPr>
          <w:p w14:paraId="2EC251D6">
            <w:pPr>
              <w:spacing w:after="6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sz w:val="22"/>
                <w:szCs w:val="22"/>
              </w:rPr>
              <w:t>3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2EC251D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Sistem Reproduksi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2EC251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Menganalisis keterkaitan struktur organ pada sistem reproduksi dan fungsinya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2EC251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Sistem Reproduksi Manusia</w:t>
            </w:r>
          </w:p>
        </w:tc>
        <w:tc>
          <w:tcPr>
            <w:tcW w:w="3470" w:type="dxa"/>
            <w:shd w:val="clear" w:color="auto" w:fill="auto"/>
            <w:vAlign w:val="center"/>
          </w:tcPr>
          <w:p w14:paraId="2EC251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Disajikan data hasil pemeriksaan gangguan reproduksi, peserta didik menganalisis hubungan antara struktur organ yang mengalami kelainan dengan dampaknya terhadap proses reproduksi.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2EC251D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C4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2EC251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PG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2EC251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</w:tr>
      <w:tr w14:paraId="2EC25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03" w:hRule="atLeast"/>
        </w:trPr>
        <w:tc>
          <w:tcPr>
            <w:tcW w:w="542" w:type="dxa"/>
            <w:vAlign w:val="center"/>
          </w:tcPr>
          <w:p w14:paraId="2EC251DF">
            <w:pPr>
              <w:spacing w:after="6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sz w:val="22"/>
                <w:szCs w:val="22"/>
              </w:rPr>
              <w:t>4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2EC251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Keanekaragaman Hayati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2EC251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Menganalisis prinsip klasifikasi dan permasalahan keanekaragaman hayati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2EC251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Klasifikasi Makhluk Hidup</w:t>
            </w:r>
          </w:p>
        </w:tc>
        <w:tc>
          <w:tcPr>
            <w:tcW w:w="3470" w:type="dxa"/>
            <w:shd w:val="clear" w:color="auto" w:fill="auto"/>
            <w:vAlign w:val="center"/>
          </w:tcPr>
          <w:p w14:paraId="2EC251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Disajikan data ciri beberapa organisme, peserta didik menentukan sistem klasifikasi yang paling tepat disertai alasan ilmiahnya.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2EC251E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C5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2EC251E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PG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2EC251E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</w:tr>
      <w:tr w14:paraId="2EC25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57" w:hRule="atLeast"/>
        </w:trPr>
        <w:tc>
          <w:tcPr>
            <w:tcW w:w="542" w:type="dxa"/>
            <w:vAlign w:val="center"/>
          </w:tcPr>
          <w:p w14:paraId="2EC251E8">
            <w:pPr>
              <w:spacing w:after="6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sz w:val="22"/>
                <w:szCs w:val="22"/>
              </w:rPr>
              <w:t>5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2EC251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Keanekaragaman Hayati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2EC251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Menganalisis prinsip klasifikasi dan permasalahan keanekaragaman hayati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2EC251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Keanekaragaman Hayati</w:t>
            </w:r>
          </w:p>
        </w:tc>
        <w:tc>
          <w:tcPr>
            <w:tcW w:w="3470" w:type="dxa"/>
            <w:shd w:val="clear" w:color="auto" w:fill="auto"/>
            <w:vAlign w:val="center"/>
          </w:tcPr>
          <w:p w14:paraId="2EC251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Disajikan kasus penurunan keanekaragaman hayati akibat aktivitas manusia, peserta didik mengevaluasi alternatif upaya konservasi yang paling efektif berdasarkan prinsip ilmiah.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2EC251E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C6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2EC251E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PG Kompleks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2EC251E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</w:tr>
      <w:tr w14:paraId="2EC25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1" w:hRule="atLeast"/>
        </w:trPr>
        <w:tc>
          <w:tcPr>
            <w:tcW w:w="542" w:type="dxa"/>
            <w:vAlign w:val="center"/>
          </w:tcPr>
          <w:p w14:paraId="2EC251F1">
            <w:pPr>
              <w:spacing w:after="6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sz w:val="22"/>
                <w:szCs w:val="22"/>
              </w:rPr>
              <w:t>6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2EC251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Hakikat Biologi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2EC251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Merumuskan pertanyaan yang dapat diselidiki secara ilmiah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2EC251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Metode Ilmiah</w:t>
            </w:r>
          </w:p>
        </w:tc>
        <w:tc>
          <w:tcPr>
            <w:tcW w:w="3470" w:type="dxa"/>
            <w:shd w:val="clear" w:color="auto" w:fill="auto"/>
            <w:vAlign w:val="center"/>
          </w:tcPr>
          <w:p w14:paraId="2EC251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Disajikan fenomena biologis dalam kehidupan sehari-hari, peserta didik merumuskan pertanyaan penelitian yang memenuhi kaidah metode ilmiah.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2EC251F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C6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2EC251F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PG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2EC251F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</w:tr>
      <w:tr w14:paraId="2EC25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03" w:hRule="atLeast"/>
        </w:trPr>
        <w:tc>
          <w:tcPr>
            <w:tcW w:w="542" w:type="dxa"/>
            <w:vAlign w:val="center"/>
          </w:tcPr>
          <w:p w14:paraId="2EC251FA">
            <w:pPr>
              <w:spacing w:after="6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sz w:val="22"/>
                <w:szCs w:val="22"/>
              </w:rPr>
              <w:t>7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2EC251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Metabolisme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2EC251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Menganalisis proses metabolisme dan peran enzim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2EC251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Enzim dan Metabolisme</w:t>
            </w:r>
          </w:p>
        </w:tc>
        <w:tc>
          <w:tcPr>
            <w:tcW w:w="3470" w:type="dxa"/>
            <w:shd w:val="clear" w:color="auto" w:fill="auto"/>
            <w:vAlign w:val="center"/>
          </w:tcPr>
          <w:p w14:paraId="2EC251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Disajikan grafik pengaruh suhu atau pH terhadap aktivitas enzim, peserta didik menganalisis hubungan faktor lingkungan dengan perubahan laju reaksi enzim.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2EC251F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C4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2EC2520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PG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2EC2520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</w:tr>
      <w:tr w14:paraId="2EC25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03" w:hRule="atLeast"/>
        </w:trPr>
        <w:tc>
          <w:tcPr>
            <w:tcW w:w="542" w:type="dxa"/>
            <w:vAlign w:val="center"/>
          </w:tcPr>
          <w:p w14:paraId="2EC25203">
            <w:pPr>
              <w:spacing w:after="6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sz w:val="22"/>
                <w:szCs w:val="22"/>
              </w:rPr>
              <w:t>8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2EC252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Sistem Ekskresi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2EC252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Menganalisis keterkaitan struktur organ pada sistem ekskresi dan fungsinya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2EC252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Sistem Ekskresi Manusia</w:t>
            </w:r>
          </w:p>
        </w:tc>
        <w:tc>
          <w:tcPr>
            <w:tcW w:w="3470" w:type="dxa"/>
            <w:shd w:val="clear" w:color="auto" w:fill="auto"/>
            <w:vAlign w:val="center"/>
          </w:tcPr>
          <w:p w14:paraId="2EC252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Disajikan hasil uji laboratorium urine dan kondisi ginjal, peserta didik menganalisis bagian nefron yang mengalami gangguan berdasarkan data tersebut.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2EC2520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C5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2EC2520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PG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2EC2520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</w:tr>
      <w:tr w14:paraId="2EC25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57" w:hRule="atLeast"/>
        </w:trPr>
        <w:tc>
          <w:tcPr>
            <w:tcW w:w="542" w:type="dxa"/>
            <w:vAlign w:val="center"/>
          </w:tcPr>
          <w:p w14:paraId="2EC2520C">
            <w:pPr>
              <w:spacing w:after="6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sz w:val="22"/>
                <w:szCs w:val="22"/>
              </w:rPr>
              <w:t>9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2EC252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Sistem Koordinasi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2EC252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Menganalisis keterkaitan gejala perubahan kondisi tubuh dengan gangguan hormon yang terjadi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2EC252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Sistem Endokrin</w:t>
            </w:r>
          </w:p>
        </w:tc>
        <w:tc>
          <w:tcPr>
            <w:tcW w:w="3470" w:type="dxa"/>
            <w:shd w:val="clear" w:color="auto" w:fill="auto"/>
            <w:vAlign w:val="center"/>
          </w:tcPr>
          <w:p w14:paraId="2EC252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Disajikan beberapa gejala klinis gangguan hormon, peserta didik menentukan pasangan hormon dan kelenjar endokrin yang mengalami gangguan.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2EC2521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C4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2EC252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PG Kompleks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2EC252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</w:tr>
      <w:tr w14:paraId="2EC25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48" w:hRule="atLeast"/>
        </w:trPr>
        <w:tc>
          <w:tcPr>
            <w:tcW w:w="542" w:type="dxa"/>
            <w:vAlign w:val="center"/>
          </w:tcPr>
          <w:p w14:paraId="2EC25215">
            <w:pPr>
              <w:spacing w:after="60"/>
              <w:jc w:val="center"/>
              <w:rPr>
                <w:rFonts w:hint="default" w:ascii="Calibri" w:hAnsi="Calibri" w:cs="Calibri"/>
                <w:sz w:val="22"/>
                <w:szCs w:val="22"/>
              </w:rPr>
            </w:pPr>
            <w:r>
              <w:rPr>
                <w:rFonts w:hint="default" w:ascii="Calibri" w:hAnsi="Calibri" w:eastAsia="Calibri" w:cs="Calibri"/>
                <w:sz w:val="22"/>
                <w:szCs w:val="22"/>
              </w:rPr>
              <w:t>10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2EC252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Integrasi Sistem Organ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2EC252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Menganalisis hubungan sistem imun, hormon, dan metabolisme dalam menjaga homeostasis tubuh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2EC252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Homeostasis</w:t>
            </w:r>
          </w:p>
        </w:tc>
        <w:tc>
          <w:tcPr>
            <w:tcW w:w="3470" w:type="dxa"/>
            <w:shd w:val="clear" w:color="auto" w:fill="auto"/>
            <w:vAlign w:val="center"/>
          </w:tcPr>
          <w:p w14:paraId="2EC252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Disajikan studi kasus gangguan metabolisme yang memengaruhi sistem imun dan hormon, peserta didik mengevaluasi penyebab gangguan serta menyimpulkan mekanisme biologis yang paling tepat.</w:t>
            </w:r>
          </w:p>
        </w:tc>
        <w:tc>
          <w:tcPr>
            <w:tcW w:w="1518" w:type="dxa"/>
            <w:shd w:val="clear" w:color="auto" w:fill="auto"/>
            <w:vAlign w:val="center"/>
          </w:tcPr>
          <w:p w14:paraId="2EC2521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C6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2EC2521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PG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2EC2521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Times New Roman" w:cs="Calibri"/>
                <w:sz w:val="22"/>
                <w:szCs w:val="22"/>
                <w:lang w:val="id-ID" w:eastAsia="en-US" w:bidi="ar-SA"/>
              </w:rPr>
            </w:pPr>
            <w:r>
              <w:rPr>
                <w:rFonts w:hint="default" w:ascii="Calibri" w:hAnsi="Calibri" w:eastAsia="SimSun" w:cs="Calibri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</w:tr>
    </w:tbl>
    <w:p w14:paraId="0D321AB4"/>
    <w:p w14:paraId="1BCF0B8C"/>
    <w:sectPr>
      <w:pgSz w:w="16838" w:h="11906"/>
      <w:pgMar w:top="900" w:right="700" w:bottom="900" w:left="7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484"/>
    <w:rsid w:val="00441B38"/>
    <w:rsid w:val="00C84484"/>
    <w:rsid w:val="293C5E84"/>
    <w:rsid w:val="2E075A2A"/>
    <w:rsid w:val="45E43639"/>
    <w:rsid w:val="5931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en-US" w:eastAsia="en-US" w:bidi="ar-SA"/>
    </w:rPr>
  </w:style>
  <w:style w:type="paragraph" w:styleId="2">
    <w:name w:val="heading 1"/>
    <w:qFormat/>
    <w:uiPriority w:val="0"/>
    <w:pPr>
      <w:outlineLvl w:val="0"/>
    </w:pPr>
    <w:rPr>
      <w:rFonts w:ascii="Times New Roman" w:hAnsi="Times New Roman" w:eastAsia="Times New Roman" w:cs="Times New Roman"/>
      <w:color w:val="2E74B5"/>
      <w:sz w:val="32"/>
      <w:szCs w:val="32"/>
      <w:lang w:val="en-US" w:eastAsia="en-US" w:bidi="ar-SA"/>
    </w:rPr>
  </w:style>
  <w:style w:type="paragraph" w:styleId="3">
    <w:name w:val="heading 2"/>
    <w:qFormat/>
    <w:uiPriority w:val="0"/>
    <w:pPr>
      <w:outlineLvl w:val="1"/>
    </w:pPr>
    <w:rPr>
      <w:rFonts w:ascii="Times New Roman" w:hAnsi="Times New Roman" w:eastAsia="Times New Roman" w:cs="Times New Roman"/>
      <w:color w:val="2E74B5"/>
      <w:sz w:val="26"/>
      <w:szCs w:val="26"/>
      <w:lang w:val="en-US" w:eastAsia="en-US" w:bidi="ar-SA"/>
    </w:rPr>
  </w:style>
  <w:style w:type="paragraph" w:styleId="4">
    <w:name w:val="heading 3"/>
    <w:qFormat/>
    <w:uiPriority w:val="0"/>
    <w:pPr>
      <w:outlineLvl w:val="2"/>
    </w:pPr>
    <w:rPr>
      <w:rFonts w:ascii="Times New Roman" w:hAnsi="Times New Roman" w:eastAsia="Times New Roman" w:cs="Times New Roman"/>
      <w:color w:val="1F4D78"/>
      <w:sz w:val="24"/>
      <w:szCs w:val="24"/>
      <w:lang w:val="en-US" w:eastAsia="en-US" w:bidi="ar-SA"/>
    </w:rPr>
  </w:style>
  <w:style w:type="paragraph" w:styleId="5">
    <w:name w:val="heading 4"/>
    <w:qFormat/>
    <w:uiPriority w:val="0"/>
    <w:pPr>
      <w:outlineLvl w:val="3"/>
    </w:pPr>
    <w:rPr>
      <w:rFonts w:ascii="Times New Roman" w:hAnsi="Times New Roman" w:eastAsia="Times New Roman" w:cs="Times New Roman"/>
      <w:i/>
      <w:iCs/>
      <w:color w:val="2E74B5"/>
      <w:lang w:val="en-US" w:eastAsia="en-US" w:bidi="ar-SA"/>
    </w:rPr>
  </w:style>
  <w:style w:type="paragraph" w:styleId="6">
    <w:name w:val="heading 5"/>
    <w:qFormat/>
    <w:uiPriority w:val="0"/>
    <w:pPr>
      <w:outlineLvl w:val="4"/>
    </w:pPr>
    <w:rPr>
      <w:rFonts w:ascii="Times New Roman" w:hAnsi="Times New Roman" w:eastAsia="Times New Roman" w:cs="Times New Roman"/>
      <w:color w:val="2E74B5"/>
      <w:lang w:val="en-US" w:eastAsia="en-US" w:bidi="ar-SA"/>
    </w:rPr>
  </w:style>
  <w:style w:type="paragraph" w:styleId="7">
    <w:name w:val="heading 6"/>
    <w:qFormat/>
    <w:uiPriority w:val="0"/>
    <w:pPr>
      <w:outlineLvl w:val="5"/>
    </w:pPr>
    <w:rPr>
      <w:rFonts w:ascii="Times New Roman" w:hAnsi="Times New Roman" w:eastAsia="Times New Roman" w:cs="Times New Roman"/>
      <w:color w:val="1F4D78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21"/>
    <w:semiHidden/>
    <w:unhideWhenUsed/>
    <w:qFormat/>
    <w:uiPriority w:val="99"/>
    <w:rPr>
      <w:rFonts w:ascii="Times New Roman" w:hAnsi="Times New Roman" w:eastAsia="Times New Roman" w:cs="Times New Roman"/>
      <w:lang w:val="en-US" w:eastAsia="en-US" w:bidi="ar-SA"/>
    </w:rPr>
  </w:style>
  <w:style w:type="character" w:styleId="12">
    <w:name w:val="footnote reference"/>
    <w:semiHidden/>
    <w:unhideWhenUsed/>
    <w:qFormat/>
    <w:uiPriority w:val="99"/>
    <w:rPr>
      <w:vertAlign w:val="superscript"/>
    </w:rPr>
  </w:style>
  <w:style w:type="paragraph" w:styleId="13">
    <w:name w:val="footnote text"/>
    <w:link w:val="20"/>
    <w:semiHidden/>
    <w:unhideWhenUsed/>
    <w:qFormat/>
    <w:uiPriority w:val="99"/>
    <w:rPr>
      <w:rFonts w:ascii="Times New Roman" w:hAnsi="Times New Roman" w:eastAsia="Times New Roman" w:cs="Times New Roman"/>
      <w:lang w:val="en-US" w:eastAsia="en-US" w:bidi="ar-SA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paragraph" w:styleId="15">
    <w:name w:val="Normal (Web)"/>
    <w:basedOn w:val="1"/>
    <w:semiHidden/>
    <w:unhideWhenUsed/>
    <w:uiPriority w:val="99"/>
    <w:rPr>
      <w:sz w:val="24"/>
      <w:szCs w:val="24"/>
    </w:rPr>
  </w:style>
  <w:style w:type="character" w:styleId="16">
    <w:name w:val="Strong"/>
    <w:basedOn w:val="8"/>
    <w:qFormat/>
    <w:uiPriority w:val="22"/>
    <w:rPr>
      <w:b/>
      <w:bCs/>
    </w:rPr>
  </w:style>
  <w:style w:type="paragraph" w:styleId="17">
    <w:name w:val="Title"/>
    <w:qFormat/>
    <w:uiPriority w:val="0"/>
    <w:rPr>
      <w:rFonts w:ascii="Times New Roman" w:hAnsi="Times New Roman" w:eastAsia="Times New Roman" w:cs="Times New Roman"/>
      <w:sz w:val="56"/>
      <w:szCs w:val="56"/>
      <w:lang w:val="en-US" w:eastAsia="en-US" w:bidi="ar-SA"/>
    </w:rPr>
  </w:style>
  <w:style w:type="paragraph" w:customStyle="1" w:styleId="18">
    <w:name w:val="Strong1"/>
    <w:qFormat/>
    <w:uiPriority w:val="0"/>
    <w:rPr>
      <w:rFonts w:ascii="Times New Roman" w:hAnsi="Times New Roman" w:eastAsia="Times New Roman" w:cs="Times New Roman"/>
      <w:b/>
      <w:bCs/>
      <w:lang w:val="en-US" w:eastAsia="en-US" w:bidi="ar-SA"/>
    </w:rPr>
  </w:style>
  <w:style w:type="paragraph" w:styleId="19">
    <w:name w:val="List Paragraph"/>
    <w:qFormat/>
    <w:uiPriority w:val="0"/>
    <w:rPr>
      <w:rFonts w:ascii="Times New Roman" w:hAnsi="Times New Roman" w:eastAsia="Times New Roman" w:cs="Times New Roman"/>
      <w:lang w:val="en-US" w:eastAsia="en-US" w:bidi="ar-SA"/>
    </w:rPr>
  </w:style>
  <w:style w:type="character" w:customStyle="1" w:styleId="20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21">
    <w:name w:val="Endnote Text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481</Words>
  <Characters>3205</Characters>
  <Lines>26</Lines>
  <Paragraphs>7</Paragraphs>
  <TotalTime>1</TotalTime>
  <ScaleCrop>false</ScaleCrop>
  <LinksUpToDate>false</LinksUpToDate>
  <CharactersWithSpaces>3597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2026-07-24T06:56:00Z</dcterms:created>
  <dc:creator>Un-named</dc:creator>
  <cp:lastModifiedBy>Abraham Insan</cp:lastModifiedBy>
  <dcterms:modified xsi:type="dcterms:W3CDTF">2026-07-25T01:32:05Z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eyJoZGlkIjoiMzcyODMxYTE0ZTc0ZGU3Y2QwODc3MzYzN2Q1YmNiM2EiLCJ1c2VySWQiOiI5Nzk4MDkxMzQxMzQifQ==</vt:lpwstr>
  </property>
  <property fmtid="{D5CDD505-2E9C-101B-9397-08002B2CF9AE}" pid="3" name="KSOProductBuildVer">
    <vt:lpwstr>1033-12.1.0.26372</vt:lpwstr>
  </property>
  <property fmtid="{D5CDD505-2E9C-101B-9397-08002B2CF9AE}" pid="4" name="ICV">
    <vt:lpwstr>D6F7CA62EBAE4612AD1D5B6AA268279A_13</vt:lpwstr>
  </property>
</Properties>
</file>