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500"/>
      </w:pPr>
    </w:p>
    <w:p>
      <w:pPr>
        <w:jc w:val="center"/>
      </w:pPr>
      <w:r>
        <w:rPr>
          <w:b/>
          <w:bCs/>
          <w:color w:val="13294B"/>
          <w:sz w:val="40"/>
          <w:szCs w:val="40"/>
        </w:rPr>
        <w:t xml:space="preserve">RINGKASAN MATERI</w:t>
      </w:r>
    </w:p>
    <w:p>
      <w:pPr>
        <w:spacing w:after="300" w:before="120"/>
        <w:jc w:val="center"/>
      </w:pPr>
      <w:r>
        <w:rPr>
          <w:b/>
          <w:bCs/>
          <w:color w:val="1B6B77"/>
          <w:sz w:val="30"/>
          <w:szCs w:val="30"/>
        </w:rPr>
        <w:t xml:space="preserve">KEGIATAN MGMP AKUNTANSI</w:t>
      </w:r>
    </w:p>
    <w:p>
      <w:pPr>
        <w:spacing w:after="60"/>
        <w:jc w:val="center"/>
      </w:pPr>
      <w:r>
        <w:rPr>
          <w:b/>
          <w:bCs/>
          <w:sz w:val="26"/>
          <w:szCs w:val="26"/>
        </w:rPr>
        <w:t xml:space="preserve">Integrasi AI &amp; Digital Automation dalam Pembelajaran Akuntansi SMK</w:t>
      </w:r>
    </w:p>
    <w:p>
      <w:pPr>
        <w:pBdr>
          <w:top w:val="single" w:color="1B6B77" w:sz="6" w:space="8"/>
        </w:pBdr>
        <w:spacing w:after="600"/>
        <w:jc w:val="center"/>
      </w:pPr>
    </w:p>
    <w:p>
      <w:pPr>
        <w:spacing w:before="900"/>
        <w:jc w:val="center"/>
      </w:pPr>
      <w:r>
        <w:rPr>
          <w:sz w:val="22"/>
          <w:szCs w:val="22"/>
        </w:rPr>
        <w:t xml:space="preserve">Disusun dan disampaikan oleh:</w:t>
      </w:r>
    </w:p>
    <w:p>
      <w:pPr>
        <w:jc w:val="center"/>
      </w:pPr>
      <w:r>
        <w:rPr>
          <w:b/>
          <w:bCs/>
          <w:sz w:val="28"/>
          <w:szCs w:val="28"/>
        </w:rPr>
        <w:t xml:space="preserve">IDI PAYUNG, S.S.T.</w:t>
      </w:r>
    </w:p>
    <w:p>
      <w:pPr>
        <w:spacing w:after="400"/>
        <w:jc w:val="center"/>
      </w:pPr>
      <w:r>
        <w:rPr>
          <w:sz w:val="24"/>
          <w:szCs w:val="24"/>
        </w:rPr>
        <w:t xml:space="preserve">SMK Negeri 1 Simpang Kiri</w:t>
      </w:r>
    </w:p>
    <w:p>
      <w:pPr>
        <w:jc w:val="center"/>
      </w:pPr>
      <w:r>
        <w:rPr>
          <w:i/>
          <w:iCs/>
          <w:sz w:val="20"/>
          <w:szCs w:val="20"/>
        </w:rPr>
        <w:t xml:space="preserve">Tahun 2026</w:t>
      </w:r>
    </w:p>
    <w:p>
      <w:r>
        <w:br w:type="page"/>
      </w:r>
    </w:p>
    <w:p>
      <w:pPr>
        <w:pStyle w:val="Heading1"/>
        <w:pBdr>
          <w:bottom w:val="single" w:color="1B6B77" w:sz="6" w:space="4"/>
        </w:pBdr>
        <w:spacing w:after="160" w:before="360"/>
      </w:pPr>
      <w:r>
        <w:rPr>
          <w:b/>
          <w:bCs/>
          <w:color w:val="13294B"/>
          <w:sz w:val="28"/>
          <w:szCs w:val="28"/>
        </w:rPr>
        <w:t xml:space="preserve">I. Pendahuluan</w:t>
      </w:r>
    </w:p>
    <w:p>
      <w:pPr>
        <w:spacing w:after="110" w:line="276"/>
      </w:pPr>
      <w:r>
        <w:rPr>
          <w:sz w:val="22"/>
          <w:szCs w:val="22"/>
        </w:rPr>
        <w:t xml:space="preserve">Perkembangan teknologi kecerdasan buatan (Artificial Intelligence/AI) dan otomatisasi digital (digital automation) telah membawa perubahan besar pada dunia kerja, tak terkecuali bidang akuntansi. Proses pencatatan transaksi, rekonsiliasi, hingga penyusunan laporan keuangan yang dulu dikerjakan secara manual, kini sebagian besar dapat dibantu oleh sistem digital dan kecerdasan buatan.</w:t>
      </w:r>
    </w:p>
    <w:p>
      <w:pPr>
        <w:spacing w:after="110" w:line="276"/>
      </w:pPr>
      <w:r>
        <w:rPr>
          <w:sz w:val="22"/>
          <w:szCs w:val="22"/>
        </w:rPr>
        <w:t xml:space="preserve">Sebagai lembaga pencetak tenaga kerja siap pakai, SMK Kompetensi Keahlian Akuntansi dituntut untuk terus menyesuaikan proses pembelajarannya agar peserta didik tidak hanya menguasai konsep dasar akuntansi, tetapi juga terampil menggunakan teknologi digital yang relevan dengan kebutuhan dunia usaha dan dunia industri (DUDI) saat ini.</w:t>
      </w:r>
    </w:p>
    <w:p>
      <w:pPr>
        <w:spacing w:after="110" w:line="276"/>
      </w:pPr>
      <w:r>
        <w:rPr>
          <w:sz w:val="22"/>
          <w:szCs w:val="22"/>
        </w:rPr>
        <w:t xml:space="preserve">Materi ini disusun sebagai bahan diskusi dan referensi bagi rekan-rekan guru Akuntansi dalam forum MGMP, untuk bersama-sama merumuskan strategi integrasi AI dan digital automation yang realistis dan dapat diterapkan di sekolah masing-masing.</w:t>
      </w:r>
    </w:p>
    <w:p>
      <w:pPr>
        <w:shd w:fill="E4EFEF" w:val="clear"/>
        <w:spacing w:after="200" w:before="100"/>
      </w:pPr>
      <w:r>
        <w:rPr>
          <w:i/>
          <w:iCs/>
          <w:color w:val="1A1A1A"/>
          <w:sz w:val="21"/>
          <w:szCs w:val="21"/>
        </w:rPr>
        <w:t xml:space="preserve">Tujuan Kegiatan: Meningkatkan pemahaman dan keterampilan guru Akuntansi SMK dalam mengintegrasikan AI dan digital automation ke dalam proses pembelajaran, serta merumuskan rencana tindak lanjut bersama melalui forum MGMP.</w:t>
      </w:r>
    </w:p>
    <w:p>
      <w:pPr>
        <w:pStyle w:val="Heading1"/>
        <w:pBdr>
          <w:bottom w:val="single" w:color="1B6B77" w:sz="6" w:space="4"/>
        </w:pBdr>
        <w:spacing w:after="160" w:before="360"/>
      </w:pPr>
      <w:r>
        <w:rPr>
          <w:b/>
          <w:bCs/>
          <w:color w:val="13294B"/>
          <w:sz w:val="28"/>
          <w:szCs w:val="28"/>
        </w:rPr>
        <w:t xml:space="preserve">II. Konsep Dasar AI &amp; Digital Automation dalam Akuntansi</w:t>
      </w:r>
    </w:p>
    <w:p>
      <w:pPr>
        <w:pStyle w:val="Heading2"/>
        <w:spacing w:after="110" w:before="220"/>
      </w:pPr>
      <w:r>
        <w:rPr>
          <w:b/>
          <w:bCs/>
          <w:color w:val="1B6B77"/>
          <w:sz w:val="23"/>
          <w:szCs w:val="23"/>
        </w:rPr>
        <w:t xml:space="preserve">A. Kecerdasan Buatan (Artificial Intelligence/AI)</w:t>
      </w:r>
    </w:p>
    <w:p>
      <w:pPr>
        <w:spacing w:after="110" w:line="276"/>
      </w:pPr>
      <w:r>
        <w:rPr>
          <w:sz w:val="22"/>
          <w:szCs w:val="22"/>
        </w:rPr>
        <w:t xml:space="preserve">AI adalah teknologi yang memungkinkan sistem komputer melakukan tugas-tugas yang biasanya membutuhkan kecerdasan manusia, seperti mengenali pola, membuat prediksi, memahami bahasa, dan mengambil keputusan sederhana. Dalam konteks akuntansi, AI banyak dimanfaatkan untuk mendeteksi anomali transaksi, memprediksi arus kas, serta membantu menyusun dokumen dan analisis keuangan.</w:t>
      </w:r>
    </w:p>
    <w:p>
      <w:pPr>
        <w:pStyle w:val="Heading2"/>
        <w:spacing w:after="110" w:before="220"/>
      </w:pPr>
      <w:r>
        <w:rPr>
          <w:b/>
          <w:bCs/>
          <w:color w:val="1B6B77"/>
          <w:sz w:val="23"/>
          <w:szCs w:val="23"/>
        </w:rPr>
        <w:t xml:space="preserve">B. Otomatisasi Digital (Digital Automation)</w:t>
      </w:r>
    </w:p>
    <w:p>
      <w:pPr>
        <w:spacing w:after="110" w:line="276"/>
      </w:pPr>
      <w:r>
        <w:rPr>
          <w:sz w:val="22"/>
          <w:szCs w:val="22"/>
        </w:rPr>
        <w:t xml:space="preserve">Digital automation merujuk pada penggunaan sistem/perangkat lunak untuk menjalankan proses kerja secara otomatis tanpa intervensi manual berulang, misalnya proses input transaksi dari nota yang dipindai (OCR), sinkronisasi data rekening bank ke pembukuan, hingga penyusunan laporan keuangan secara otomatis dari data yang telah diinput.</w:t>
      </w:r>
    </w:p>
    <w:p>
      <w:pPr>
        <w:pStyle w:val="Heading2"/>
        <w:spacing w:after="110" w:before="220"/>
      </w:pPr>
      <w:r>
        <w:rPr>
          <w:b/>
          <w:bCs/>
          <w:color w:val="1B6B77"/>
          <w:sz w:val="23"/>
          <w:szCs w:val="23"/>
        </w:rPr>
        <w:t xml:space="preserve">C. Relevansi bagi Pembelajaran Akuntansi SMK</w:t>
      </w:r>
    </w:p>
    <w:p>
      <w:pPr>
        <w:pStyle w:val="ListParagraph"/>
        <w:numPr>
          <w:ilvl w:val="0"/>
          <w:numId w:val="2"/>
        </w:numPr>
        <w:spacing w:after="70" w:line="276"/>
      </w:pPr>
      <w:r>
        <w:rPr>
          <w:sz w:val="22"/>
          <w:szCs w:val="22"/>
        </w:rPr>
        <w:t xml:space="preserve">Menyesuaikan kompetensi lulusan dengan tuntutan dunia kerja yang semakin berbasis sistem digital.</w:t>
      </w:r>
    </w:p>
    <w:p>
      <w:pPr>
        <w:pStyle w:val="ListParagraph"/>
        <w:numPr>
          <w:ilvl w:val="0"/>
          <w:numId w:val="2"/>
        </w:numPr>
        <w:spacing w:after="70" w:line="276"/>
      </w:pPr>
      <w:r>
        <w:rPr>
          <w:sz w:val="22"/>
          <w:szCs w:val="22"/>
        </w:rPr>
        <w:t xml:space="preserve">Meningkatkan efisiensi proses belajar-mengajar, baik dari sisi guru (penyiapan materi/asesmen) maupun peserta didik (praktik langsung).</w:t>
      </w:r>
    </w:p>
    <w:p>
      <w:pPr>
        <w:pStyle w:val="ListParagraph"/>
        <w:numPr>
          <w:ilvl w:val="0"/>
          <w:numId w:val="2"/>
        </w:numPr>
        <w:spacing w:after="70" w:line="276"/>
      </w:pPr>
      <w:r>
        <w:rPr>
          <w:sz w:val="22"/>
          <w:szCs w:val="22"/>
        </w:rPr>
        <w:t xml:space="preserve">Membekali peserta didik dengan literasi digital dan kemampuan berpikir kritis dalam memvalidasi hasil kerja sistem otomatis.</w:t>
      </w:r>
    </w:p>
    <w:p>
      <w:pPr>
        <w:spacing w:after="80"/>
      </w:pPr>
    </w:p>
    <w:p>
      <w:pPr>
        <w:pStyle w:val="Heading1"/>
        <w:pBdr>
          <w:bottom w:val="single" w:color="1B6B77" w:sz="6" w:space="4"/>
        </w:pBdr>
        <w:spacing w:after="160" w:before="360"/>
      </w:pPr>
      <w:r>
        <w:rPr>
          <w:b/>
          <w:bCs/>
          <w:color w:val="13294B"/>
          <w:sz w:val="28"/>
          <w:szCs w:val="28"/>
        </w:rPr>
        <w:t xml:space="preserve">III. Transformasi Profesi Akuntansi di Era Digital</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400"/>
        <w:gridCol w:w="3600"/>
        <w:gridCol w:w="3600"/>
      </w:tblGrid>
      <w:tr>
        <w:tc>
          <w:tcPr>
            <w:tcW w:type="dxa" w:w="2400"/>
            <w:shd w:fill="13294B" w:val="clear"/>
            <w:tcMar>
              <w:top w:type="dxa" w:w="80"/>
              <w:left w:type="dxa" w:w="100"/>
              <w:bottom w:type="dxa" w:w="80"/>
              <w:right w:type="dxa" w:w="100"/>
            </w:tcMar>
            <w:vAlign w:val="center"/>
          </w:tcPr>
          <w:p>
            <w:pPr>
              <w:spacing w:after="40"/>
            </w:pPr>
            <w:r>
              <w:rPr>
                <w:b/>
                <w:bCs/>
                <w:color w:val="FFFFFF"/>
                <w:sz w:val="20"/>
                <w:szCs w:val="20"/>
              </w:rPr>
              <w:t xml:space="preserve">Aspek</w:t>
            </w:r>
          </w:p>
        </w:tc>
        <w:tc>
          <w:tcPr>
            <w:tcW w:type="dxa" w:w="3600"/>
            <w:shd w:fill="13294B" w:val="clear"/>
            <w:tcMar>
              <w:top w:type="dxa" w:w="80"/>
              <w:left w:type="dxa" w:w="100"/>
              <w:bottom w:type="dxa" w:w="80"/>
              <w:right w:type="dxa" w:w="100"/>
            </w:tcMar>
            <w:vAlign w:val="center"/>
          </w:tcPr>
          <w:p>
            <w:pPr>
              <w:spacing w:after="40"/>
            </w:pPr>
            <w:r>
              <w:rPr>
                <w:b/>
                <w:bCs/>
                <w:color w:val="FFFFFF"/>
                <w:sz w:val="20"/>
                <w:szCs w:val="20"/>
              </w:rPr>
              <w:t xml:space="preserve">Sebelum Otomatisasi</w:t>
            </w:r>
          </w:p>
        </w:tc>
        <w:tc>
          <w:tcPr>
            <w:tcW w:type="dxa" w:w="3600"/>
            <w:shd w:fill="13294B" w:val="clear"/>
            <w:tcMar>
              <w:top w:type="dxa" w:w="80"/>
              <w:left w:type="dxa" w:w="100"/>
              <w:bottom w:type="dxa" w:w="80"/>
              <w:right w:type="dxa" w:w="100"/>
            </w:tcMar>
            <w:vAlign w:val="center"/>
          </w:tcPr>
          <w:p>
            <w:pPr>
              <w:spacing w:after="40"/>
            </w:pPr>
            <w:r>
              <w:rPr>
                <w:b/>
                <w:bCs/>
                <w:color w:val="FFFFFF"/>
                <w:sz w:val="20"/>
                <w:szCs w:val="20"/>
              </w:rPr>
              <w:t xml:space="preserve">Sesudah Integrasi AI &amp; Automation</w:t>
            </w:r>
          </w:p>
        </w:tc>
      </w:tr>
      <w:tr>
        <w:tc>
          <w:tcPr>
            <w:tcW w:type="dxa" w:w="2400"/>
            <w:tcMar>
              <w:top w:type="dxa" w:w="80"/>
              <w:left w:type="dxa" w:w="100"/>
              <w:bottom w:type="dxa" w:w="80"/>
              <w:right w:type="dxa" w:w="100"/>
            </w:tcMar>
            <w:vAlign w:val="center"/>
          </w:tcPr>
          <w:p>
            <w:pPr>
              <w:spacing w:after="40"/>
            </w:pPr>
            <w:r>
              <w:rPr>
                <w:sz w:val="20"/>
                <w:szCs w:val="20"/>
              </w:rPr>
              <w:t xml:space="preserve">Input Transaksi</w:t>
            </w:r>
          </w:p>
        </w:tc>
        <w:tc>
          <w:tcPr>
            <w:tcW w:type="dxa" w:w="3600"/>
            <w:tcMar>
              <w:top w:type="dxa" w:w="80"/>
              <w:left w:type="dxa" w:w="100"/>
              <w:bottom w:type="dxa" w:w="80"/>
              <w:right w:type="dxa" w:w="100"/>
            </w:tcMar>
            <w:vAlign w:val="center"/>
          </w:tcPr>
          <w:p>
            <w:pPr>
              <w:spacing w:after="40"/>
            </w:pPr>
            <w:r>
              <w:rPr>
                <w:sz w:val="20"/>
                <w:szCs w:val="20"/>
              </w:rPr>
              <w:t xml:space="preserve">Dicatat manual satu per satu ke buku/jurnal</w:t>
            </w:r>
          </w:p>
        </w:tc>
        <w:tc>
          <w:tcPr>
            <w:tcW w:type="dxa" w:w="3600"/>
            <w:tcMar>
              <w:top w:type="dxa" w:w="80"/>
              <w:left w:type="dxa" w:w="100"/>
              <w:bottom w:type="dxa" w:w="80"/>
              <w:right w:type="dxa" w:w="100"/>
            </w:tcMar>
            <w:vAlign w:val="center"/>
          </w:tcPr>
          <w:p>
            <w:pPr>
              <w:spacing w:after="40"/>
            </w:pPr>
            <w:r>
              <w:rPr>
                <w:sz w:val="20"/>
                <w:szCs w:val="20"/>
              </w:rPr>
              <w:t xml:space="preserve">Otomatis melalui scan nota (OCR) &amp; integrasi sistem kasir/bank</w:t>
            </w:r>
          </w:p>
        </w:tc>
      </w:tr>
      <w:tr>
        <w:tc>
          <w:tcPr>
            <w:tcW w:type="dxa" w:w="2400"/>
            <w:shd w:fill="F2F2F2" w:val="clear"/>
            <w:tcMar>
              <w:top w:type="dxa" w:w="80"/>
              <w:left w:type="dxa" w:w="100"/>
              <w:bottom w:type="dxa" w:w="80"/>
              <w:right w:type="dxa" w:w="100"/>
            </w:tcMar>
            <w:vAlign w:val="center"/>
          </w:tcPr>
          <w:p>
            <w:pPr>
              <w:spacing w:after="40"/>
            </w:pPr>
            <w:r>
              <w:rPr>
                <w:sz w:val="20"/>
                <w:szCs w:val="20"/>
              </w:rPr>
              <w:t xml:space="preserve">Rekonsiliasi</w:t>
            </w:r>
          </w:p>
        </w:tc>
        <w:tc>
          <w:tcPr>
            <w:tcW w:type="dxa" w:w="3600"/>
            <w:shd w:fill="F2F2F2" w:val="clear"/>
            <w:tcMar>
              <w:top w:type="dxa" w:w="80"/>
              <w:left w:type="dxa" w:w="100"/>
              <w:bottom w:type="dxa" w:w="80"/>
              <w:right w:type="dxa" w:w="100"/>
            </w:tcMar>
            <w:vAlign w:val="center"/>
          </w:tcPr>
          <w:p>
            <w:pPr>
              <w:spacing w:after="40"/>
            </w:pPr>
            <w:r>
              <w:rPr>
                <w:sz w:val="20"/>
                <w:szCs w:val="20"/>
              </w:rPr>
              <w:t xml:space="preserve">Dilakukan penuh secara manual, memakan waktu lama</w:t>
            </w:r>
          </w:p>
        </w:tc>
        <w:tc>
          <w:tcPr>
            <w:tcW w:type="dxa" w:w="3600"/>
            <w:shd w:fill="F2F2F2" w:val="clear"/>
            <w:tcMar>
              <w:top w:type="dxa" w:w="80"/>
              <w:left w:type="dxa" w:w="100"/>
              <w:bottom w:type="dxa" w:w="80"/>
              <w:right w:type="dxa" w:w="100"/>
            </w:tcMar>
            <w:vAlign w:val="center"/>
          </w:tcPr>
          <w:p>
            <w:pPr>
              <w:spacing w:after="40"/>
            </w:pPr>
            <w:r>
              <w:rPr>
                <w:sz w:val="20"/>
                <w:szCs w:val="20"/>
              </w:rPr>
              <w:t xml:space="preserve">Dibantu sistem; selisih dan anomali terdeteksi otomatis</w:t>
            </w:r>
          </w:p>
        </w:tc>
      </w:tr>
      <w:tr>
        <w:tc>
          <w:tcPr>
            <w:tcW w:type="dxa" w:w="2400"/>
            <w:tcMar>
              <w:top w:type="dxa" w:w="80"/>
              <w:left w:type="dxa" w:w="100"/>
              <w:bottom w:type="dxa" w:w="80"/>
              <w:right w:type="dxa" w:w="100"/>
            </w:tcMar>
            <w:vAlign w:val="center"/>
          </w:tcPr>
          <w:p>
            <w:pPr>
              <w:spacing w:after="40"/>
            </w:pPr>
            <w:r>
              <w:rPr>
                <w:sz w:val="20"/>
                <w:szCs w:val="20"/>
              </w:rPr>
              <w:t xml:space="preserve">Penyusunan Laporan</w:t>
            </w:r>
          </w:p>
        </w:tc>
        <w:tc>
          <w:tcPr>
            <w:tcW w:type="dxa" w:w="3600"/>
            <w:tcMar>
              <w:top w:type="dxa" w:w="80"/>
              <w:left w:type="dxa" w:w="100"/>
              <w:bottom w:type="dxa" w:w="80"/>
              <w:right w:type="dxa" w:w="100"/>
            </w:tcMar>
            <w:vAlign w:val="center"/>
          </w:tcPr>
          <w:p>
            <w:pPr>
              <w:spacing w:after="40"/>
            </w:pPr>
            <w:r>
              <w:rPr>
                <w:sz w:val="20"/>
                <w:szCs w:val="20"/>
              </w:rPr>
              <w:t xml:space="preserve">Bertahap, rawan salah hitung</w:t>
            </w:r>
          </w:p>
        </w:tc>
        <w:tc>
          <w:tcPr>
            <w:tcW w:type="dxa" w:w="3600"/>
            <w:tcMar>
              <w:top w:type="dxa" w:w="80"/>
              <w:left w:type="dxa" w:w="100"/>
              <w:bottom w:type="dxa" w:w="80"/>
              <w:right w:type="dxa" w:w="100"/>
            </w:tcMar>
            <w:vAlign w:val="center"/>
          </w:tcPr>
          <w:p>
            <w:pPr>
              <w:spacing w:after="40"/>
            </w:pPr>
            <w:r>
              <w:rPr>
                <w:sz w:val="20"/>
                <w:szCs w:val="20"/>
              </w:rPr>
              <w:t xml:space="preserve">Tersaji instan melalui dashboard software akuntansi digital</w:t>
            </w:r>
          </w:p>
        </w:tc>
      </w:tr>
      <w:tr>
        <w:tc>
          <w:tcPr>
            <w:tcW w:type="dxa" w:w="2400"/>
            <w:shd w:fill="F2F2F2" w:val="clear"/>
            <w:tcMar>
              <w:top w:type="dxa" w:w="80"/>
              <w:left w:type="dxa" w:w="100"/>
              <w:bottom w:type="dxa" w:w="80"/>
              <w:right w:type="dxa" w:w="100"/>
            </w:tcMar>
            <w:vAlign w:val="center"/>
          </w:tcPr>
          <w:p>
            <w:pPr>
              <w:spacing w:after="40"/>
            </w:pPr>
            <w:r>
              <w:rPr>
                <w:sz w:val="20"/>
                <w:szCs w:val="20"/>
              </w:rPr>
              <w:t xml:space="preserve">Fokus Pekerjaan</w:t>
            </w:r>
          </w:p>
        </w:tc>
        <w:tc>
          <w:tcPr>
            <w:tcW w:type="dxa" w:w="3600"/>
            <w:shd w:fill="F2F2F2" w:val="clear"/>
            <w:tcMar>
              <w:top w:type="dxa" w:w="80"/>
              <w:left w:type="dxa" w:w="100"/>
              <w:bottom w:type="dxa" w:w="80"/>
              <w:right w:type="dxa" w:w="100"/>
            </w:tcMar>
            <w:vAlign w:val="center"/>
          </w:tcPr>
          <w:p>
            <w:pPr>
              <w:spacing w:after="40"/>
            </w:pPr>
            <w:r>
              <w:rPr>
                <w:sz w:val="20"/>
                <w:szCs w:val="20"/>
              </w:rPr>
              <w:t xml:space="preserve">Banyak waktu habis untuk pencatatan</w:t>
            </w:r>
          </w:p>
        </w:tc>
        <w:tc>
          <w:tcPr>
            <w:tcW w:type="dxa" w:w="3600"/>
            <w:shd w:fill="F2F2F2" w:val="clear"/>
            <w:tcMar>
              <w:top w:type="dxa" w:w="80"/>
              <w:left w:type="dxa" w:w="100"/>
              <w:bottom w:type="dxa" w:w="80"/>
              <w:right w:type="dxa" w:w="100"/>
            </w:tcMar>
            <w:vAlign w:val="center"/>
          </w:tcPr>
          <w:p>
            <w:pPr>
              <w:spacing w:after="40"/>
            </w:pPr>
            <w:r>
              <w:rPr>
                <w:sz w:val="20"/>
                <w:szCs w:val="20"/>
              </w:rPr>
              <w:t xml:space="preserve">Bergeser ke analisis, interpretasi, dan pengambilan keputusan</w:t>
            </w:r>
          </w:p>
        </w:tc>
      </w:tr>
    </w:tbl>
    <w:p>
      <w:pPr>
        <w:spacing w:after="80"/>
      </w:pPr>
    </w:p>
    <w:p>
      <w:pPr>
        <w:pStyle w:val="Heading1"/>
        <w:pBdr>
          <w:bottom w:val="single" w:color="1B6B77" w:sz="6" w:space="4"/>
        </w:pBdr>
        <w:spacing w:after="160" w:before="360"/>
      </w:pPr>
      <w:r>
        <w:rPr>
          <w:b/>
          <w:bCs/>
          <w:color w:val="13294B"/>
          <w:sz w:val="28"/>
          <w:szCs w:val="28"/>
        </w:rPr>
        <w:t xml:space="preserve">IV. Kategori dan Contoh Tools AI untuk Pembelajaran Akuntansi</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600"/>
        <w:gridCol w:w="3400"/>
        <w:gridCol w:w="3600"/>
      </w:tblGrid>
      <w:tr>
        <w:tc>
          <w:tcPr>
            <w:tcW w:type="dxa" w:w="2600"/>
            <w:shd w:fill="13294B" w:val="clear"/>
            <w:tcMar>
              <w:top w:type="dxa" w:w="80"/>
              <w:left w:type="dxa" w:w="100"/>
              <w:bottom w:type="dxa" w:w="80"/>
              <w:right w:type="dxa" w:w="100"/>
            </w:tcMar>
            <w:vAlign w:val="center"/>
          </w:tcPr>
          <w:p>
            <w:pPr>
              <w:spacing w:after="40"/>
            </w:pPr>
            <w:r>
              <w:rPr>
                <w:b/>
                <w:bCs/>
                <w:color w:val="FFFFFF"/>
                <w:sz w:val="20"/>
                <w:szCs w:val="20"/>
              </w:rPr>
              <w:t xml:space="preserve">Kategori</w:t>
            </w:r>
          </w:p>
        </w:tc>
        <w:tc>
          <w:tcPr>
            <w:tcW w:type="dxa" w:w="3400"/>
            <w:shd w:fill="13294B" w:val="clear"/>
            <w:tcMar>
              <w:top w:type="dxa" w:w="80"/>
              <w:left w:type="dxa" w:w="100"/>
              <w:bottom w:type="dxa" w:w="80"/>
              <w:right w:type="dxa" w:w="100"/>
            </w:tcMar>
            <w:vAlign w:val="center"/>
          </w:tcPr>
          <w:p>
            <w:pPr>
              <w:spacing w:after="40"/>
            </w:pPr>
            <w:r>
              <w:rPr>
                <w:b/>
                <w:bCs/>
                <w:color w:val="FFFFFF"/>
                <w:sz w:val="20"/>
                <w:szCs w:val="20"/>
              </w:rPr>
              <w:t xml:space="preserve">Contoh Tools</w:t>
            </w:r>
          </w:p>
        </w:tc>
        <w:tc>
          <w:tcPr>
            <w:tcW w:type="dxa" w:w="3600"/>
            <w:shd w:fill="13294B" w:val="clear"/>
            <w:tcMar>
              <w:top w:type="dxa" w:w="80"/>
              <w:left w:type="dxa" w:w="100"/>
              <w:bottom w:type="dxa" w:w="80"/>
              <w:right w:type="dxa" w:w="100"/>
            </w:tcMar>
            <w:vAlign w:val="center"/>
          </w:tcPr>
          <w:p>
            <w:pPr>
              <w:spacing w:after="40"/>
            </w:pPr>
            <w:r>
              <w:rPr>
                <w:b/>
                <w:bCs/>
                <w:color w:val="FFFFFF"/>
                <w:sz w:val="20"/>
                <w:szCs w:val="20"/>
              </w:rPr>
              <w:t xml:space="preserve">Pemanfaatan dalam Pembelajaran</w:t>
            </w:r>
          </w:p>
        </w:tc>
      </w:tr>
      <w:tr>
        <w:tc>
          <w:tcPr>
            <w:tcW w:type="dxa" w:w="2600"/>
            <w:tcMar>
              <w:top w:type="dxa" w:w="80"/>
              <w:left w:type="dxa" w:w="100"/>
              <w:bottom w:type="dxa" w:w="80"/>
              <w:right w:type="dxa" w:w="100"/>
            </w:tcMar>
            <w:vAlign w:val="center"/>
          </w:tcPr>
          <w:p>
            <w:pPr>
              <w:spacing w:after="40"/>
            </w:pPr>
            <w:r>
              <w:rPr>
                <w:sz w:val="20"/>
                <w:szCs w:val="20"/>
              </w:rPr>
              <w:t xml:space="preserve">Software Akuntansi Cloud &amp; AI</w:t>
            </w:r>
          </w:p>
        </w:tc>
        <w:tc>
          <w:tcPr>
            <w:tcW w:type="dxa" w:w="3400"/>
            <w:tcMar>
              <w:top w:type="dxa" w:w="80"/>
              <w:left w:type="dxa" w:w="100"/>
              <w:bottom w:type="dxa" w:w="80"/>
              <w:right w:type="dxa" w:w="100"/>
            </w:tcMar>
            <w:vAlign w:val="center"/>
          </w:tcPr>
          <w:p>
            <w:pPr>
              <w:spacing w:after="40"/>
            </w:pPr>
            <w:r>
              <w:rPr>
                <w:sz w:val="20"/>
                <w:szCs w:val="20"/>
              </w:rPr>
              <w:t xml:space="preserve">Accurate Online, Jurnal.id, Zahir Accounting, Xero</w:t>
            </w:r>
          </w:p>
        </w:tc>
        <w:tc>
          <w:tcPr>
            <w:tcW w:type="dxa" w:w="3600"/>
            <w:tcMar>
              <w:top w:type="dxa" w:w="80"/>
              <w:left w:type="dxa" w:w="100"/>
              <w:bottom w:type="dxa" w:w="80"/>
              <w:right w:type="dxa" w:w="100"/>
            </w:tcMar>
            <w:vAlign w:val="center"/>
          </w:tcPr>
          <w:p>
            <w:pPr>
              <w:spacing w:after="40"/>
            </w:pPr>
            <w:r>
              <w:rPr>
                <w:sz w:val="20"/>
                <w:szCs w:val="20"/>
              </w:rPr>
              <w:t xml:space="preserve">Praktik menyusun jurnal, buku besar, hingga laporan keuangan secara digital dan real-time</w:t>
            </w:r>
          </w:p>
        </w:tc>
      </w:tr>
      <w:tr>
        <w:tc>
          <w:tcPr>
            <w:tcW w:type="dxa" w:w="2600"/>
            <w:shd w:fill="F2F2F2" w:val="clear"/>
            <w:tcMar>
              <w:top w:type="dxa" w:w="80"/>
              <w:left w:type="dxa" w:w="100"/>
              <w:bottom w:type="dxa" w:w="80"/>
              <w:right w:type="dxa" w:w="100"/>
            </w:tcMar>
            <w:vAlign w:val="center"/>
          </w:tcPr>
          <w:p>
            <w:pPr>
              <w:spacing w:after="40"/>
            </w:pPr>
            <w:r>
              <w:rPr>
                <w:sz w:val="20"/>
                <w:szCs w:val="20"/>
              </w:rPr>
              <w:t xml:space="preserve">Automasi Dokumen (OCR &amp; RPA)</w:t>
            </w:r>
          </w:p>
        </w:tc>
        <w:tc>
          <w:tcPr>
            <w:tcW w:type="dxa" w:w="3400"/>
            <w:shd w:fill="F2F2F2" w:val="clear"/>
            <w:tcMar>
              <w:top w:type="dxa" w:w="80"/>
              <w:left w:type="dxa" w:w="100"/>
              <w:bottom w:type="dxa" w:w="80"/>
              <w:right w:type="dxa" w:w="100"/>
            </w:tcMar>
            <w:vAlign w:val="center"/>
          </w:tcPr>
          <w:p>
            <w:pPr>
              <w:spacing w:after="40"/>
            </w:pPr>
            <w:r>
              <w:rPr>
                <w:sz w:val="20"/>
                <w:szCs w:val="20"/>
              </w:rPr>
              <w:t xml:space="preserve">Aplikasi scan nota/struk otomatis, Google Sheets App Script, Power Automate</w:t>
            </w:r>
          </w:p>
        </w:tc>
        <w:tc>
          <w:tcPr>
            <w:tcW w:type="dxa" w:w="3600"/>
            <w:shd w:fill="F2F2F2" w:val="clear"/>
            <w:tcMar>
              <w:top w:type="dxa" w:w="80"/>
              <w:left w:type="dxa" w:w="100"/>
              <w:bottom w:type="dxa" w:w="80"/>
              <w:right w:type="dxa" w:w="100"/>
            </w:tcMar>
            <w:vAlign w:val="center"/>
          </w:tcPr>
          <w:p>
            <w:pPr>
              <w:spacing w:after="40"/>
            </w:pPr>
            <w:r>
              <w:rPr>
                <w:sz w:val="20"/>
                <w:szCs w:val="20"/>
              </w:rPr>
              <w:t xml:space="preserve">Melatih peserta didik mendigitalkan bukti transaksi dan menyusun alur kerja otomatis sederhana</w:t>
            </w:r>
          </w:p>
        </w:tc>
      </w:tr>
      <w:tr>
        <w:tc>
          <w:tcPr>
            <w:tcW w:type="dxa" w:w="2600"/>
            <w:tcMar>
              <w:top w:type="dxa" w:w="80"/>
              <w:left w:type="dxa" w:w="100"/>
              <w:bottom w:type="dxa" w:w="80"/>
              <w:right w:type="dxa" w:w="100"/>
            </w:tcMar>
            <w:vAlign w:val="center"/>
          </w:tcPr>
          <w:p>
            <w:pPr>
              <w:spacing w:after="40"/>
            </w:pPr>
            <w:r>
              <w:rPr>
                <w:sz w:val="20"/>
                <w:szCs w:val="20"/>
              </w:rPr>
              <w:t xml:space="preserve">AI Generatif untuk Materi &amp; Soal</w:t>
            </w:r>
          </w:p>
        </w:tc>
        <w:tc>
          <w:tcPr>
            <w:tcW w:type="dxa" w:w="3400"/>
            <w:tcMar>
              <w:top w:type="dxa" w:w="80"/>
              <w:left w:type="dxa" w:w="100"/>
              <w:bottom w:type="dxa" w:w="80"/>
              <w:right w:type="dxa" w:w="100"/>
            </w:tcMar>
            <w:vAlign w:val="center"/>
          </w:tcPr>
          <w:p>
            <w:pPr>
              <w:spacing w:after="40"/>
            </w:pPr>
            <w:r>
              <w:rPr>
                <w:sz w:val="20"/>
                <w:szCs w:val="20"/>
              </w:rPr>
              <w:t xml:space="preserve">ChatGPT, Claude, Microsoft Copilot</w:t>
            </w:r>
          </w:p>
        </w:tc>
        <w:tc>
          <w:tcPr>
            <w:tcW w:type="dxa" w:w="3600"/>
            <w:tcMar>
              <w:top w:type="dxa" w:w="80"/>
              <w:left w:type="dxa" w:w="100"/>
              <w:bottom w:type="dxa" w:w="80"/>
              <w:right w:type="dxa" w:w="100"/>
            </w:tcMar>
            <w:vAlign w:val="center"/>
          </w:tcPr>
          <w:p>
            <w:pPr>
              <w:spacing w:after="40"/>
            </w:pPr>
            <w:r>
              <w:rPr>
                <w:sz w:val="20"/>
                <w:szCs w:val="20"/>
              </w:rPr>
              <w:t xml:space="preserve">Membantu guru menyusun studi kasus, soal HOTS, dan simulasi transaksi bisnis secara cepat</w:t>
            </w:r>
          </w:p>
        </w:tc>
      </w:tr>
      <w:tr>
        <w:tc>
          <w:tcPr>
            <w:tcW w:type="dxa" w:w="2600"/>
            <w:shd w:fill="F2F2F2" w:val="clear"/>
            <w:tcMar>
              <w:top w:type="dxa" w:w="80"/>
              <w:left w:type="dxa" w:w="100"/>
              <w:bottom w:type="dxa" w:w="80"/>
              <w:right w:type="dxa" w:w="100"/>
            </w:tcMar>
            <w:vAlign w:val="center"/>
          </w:tcPr>
          <w:p>
            <w:pPr>
              <w:spacing w:after="40"/>
            </w:pPr>
            <w:r>
              <w:rPr>
                <w:sz w:val="20"/>
                <w:szCs w:val="20"/>
              </w:rPr>
              <w:t xml:space="preserve">Asesmen &amp; Gamifikasi Interaktif</w:t>
            </w:r>
          </w:p>
        </w:tc>
        <w:tc>
          <w:tcPr>
            <w:tcW w:type="dxa" w:w="3400"/>
            <w:shd w:fill="F2F2F2" w:val="clear"/>
            <w:tcMar>
              <w:top w:type="dxa" w:w="80"/>
              <w:left w:type="dxa" w:w="100"/>
              <w:bottom w:type="dxa" w:w="80"/>
              <w:right w:type="dxa" w:w="100"/>
            </w:tcMar>
            <w:vAlign w:val="center"/>
          </w:tcPr>
          <w:p>
            <w:pPr>
              <w:spacing w:after="40"/>
            </w:pPr>
            <w:r>
              <w:rPr>
                <w:sz w:val="20"/>
                <w:szCs w:val="20"/>
              </w:rPr>
              <w:t xml:space="preserve">Quizizz, Kahoot!, Google Forms dengan bantuan AI</w:t>
            </w:r>
          </w:p>
        </w:tc>
        <w:tc>
          <w:tcPr>
            <w:tcW w:type="dxa" w:w="3600"/>
            <w:shd w:fill="F2F2F2" w:val="clear"/>
            <w:tcMar>
              <w:top w:type="dxa" w:w="80"/>
              <w:left w:type="dxa" w:w="100"/>
              <w:bottom w:type="dxa" w:w="80"/>
              <w:right w:type="dxa" w:w="100"/>
            </w:tcMar>
            <w:vAlign w:val="center"/>
          </w:tcPr>
          <w:p>
            <w:pPr>
              <w:spacing w:after="40"/>
            </w:pPr>
            <w:r>
              <w:rPr>
                <w:sz w:val="20"/>
                <w:szCs w:val="20"/>
              </w:rPr>
              <w:t xml:space="preserve">Membuat kuis otomatis dengan bank soal yang dapat diperkaya AI, disertai umpan balik instan</w:t>
            </w:r>
          </w:p>
        </w:tc>
      </w:tr>
    </w:tbl>
    <w:p>
      <w:pPr>
        <w:spacing w:after="80"/>
      </w:pPr>
    </w:p>
    <w:p>
      <w:pPr>
        <w:spacing w:after="110" w:line="276"/>
      </w:pPr>
      <w:r>
        <w:rPr>
          <w:sz w:val="22"/>
          <w:szCs w:val="22"/>
        </w:rPr>
        <w:t xml:space="preserve">Catatan: Pemilihan tools sebaiknya disesuaikan dengan ketersediaan infrastruktur (perangkat dan akses internet) di masing-masing sekolah, serta dimulai dari tools yang ringan dan mudah diakses melalui perangkat mobile.</w:t>
      </w:r>
    </w:p>
    <w:p>
      <w:pPr>
        <w:pStyle w:val="Heading1"/>
        <w:pBdr>
          <w:bottom w:val="single" w:color="1B6B77" w:sz="6" w:space="4"/>
        </w:pBdr>
        <w:spacing w:after="160" w:before="360"/>
      </w:pPr>
      <w:r>
        <w:rPr>
          <w:b/>
          <w:bCs/>
          <w:color w:val="13294B"/>
          <w:sz w:val="28"/>
          <w:szCs w:val="28"/>
        </w:rPr>
        <w:t xml:space="preserve">V. Manfaat Integrasi AI bagi Pembelajaran</w:t>
      </w:r>
    </w:p>
    <w:p>
      <w:pPr>
        <w:pStyle w:val="Heading2"/>
        <w:spacing w:after="110" w:before="220"/>
      </w:pPr>
      <w:r>
        <w:rPr>
          <w:b/>
          <w:bCs/>
          <w:color w:val="1B6B77"/>
          <w:sz w:val="23"/>
          <w:szCs w:val="23"/>
        </w:rPr>
        <w:t xml:space="preserve">Bagi Guru</w:t>
      </w:r>
    </w:p>
    <w:p>
      <w:pPr>
        <w:pStyle w:val="ListParagraph"/>
        <w:numPr>
          <w:ilvl w:val="0"/>
          <w:numId w:val="2"/>
        </w:numPr>
        <w:spacing w:after="70" w:line="276"/>
      </w:pPr>
      <w:r>
        <w:rPr>
          <w:sz w:val="22"/>
          <w:szCs w:val="22"/>
        </w:rPr>
        <w:t xml:space="preserve">Menghemat waktu penyusunan soal, studi kasus, dan bahan ajar yang bersifat berulang.</w:t>
      </w:r>
    </w:p>
    <w:p>
      <w:pPr>
        <w:pStyle w:val="ListParagraph"/>
        <w:numPr>
          <w:ilvl w:val="0"/>
          <w:numId w:val="2"/>
        </w:numPr>
        <w:spacing w:after="70" w:line="276"/>
      </w:pPr>
      <w:r>
        <w:rPr>
          <w:sz w:val="22"/>
          <w:szCs w:val="22"/>
        </w:rPr>
        <w:t xml:space="preserve">Mempermudah proses koreksi dan penilaian melalui asesmen digital otomatis.</w:t>
      </w:r>
    </w:p>
    <w:p>
      <w:pPr>
        <w:pStyle w:val="ListParagraph"/>
        <w:numPr>
          <w:ilvl w:val="0"/>
          <w:numId w:val="2"/>
        </w:numPr>
        <w:spacing w:after="70" w:line="276"/>
      </w:pPr>
      <w:r>
        <w:rPr>
          <w:sz w:val="22"/>
          <w:szCs w:val="22"/>
        </w:rPr>
        <w:t xml:space="preserve">Memperoleh data progres belajar peserta didik secara real-time untuk keperluan tindak lanjut pembelajaran.</w:t>
      </w:r>
    </w:p>
    <w:p>
      <w:pPr>
        <w:pStyle w:val="ListParagraph"/>
        <w:numPr>
          <w:ilvl w:val="0"/>
          <w:numId w:val="2"/>
        </w:numPr>
        <w:spacing w:after="70" w:line="276"/>
      </w:pPr>
      <w:r>
        <w:rPr>
          <w:sz w:val="22"/>
          <w:szCs w:val="22"/>
        </w:rPr>
        <w:t xml:space="preserve">Mendorong peningkatan kompetensi digital guru agar tetap relevan dengan perkembangan dunia kerja.</w:t>
      </w:r>
    </w:p>
    <w:p>
      <w:pPr>
        <w:pStyle w:val="Heading2"/>
        <w:spacing w:after="110" w:before="220"/>
      </w:pPr>
      <w:r>
        <w:rPr>
          <w:b/>
          <w:bCs/>
          <w:color w:val="1B6B77"/>
          <w:sz w:val="23"/>
          <w:szCs w:val="23"/>
        </w:rPr>
        <w:t xml:space="preserve">Bagi Peserta Didik</w:t>
      </w:r>
    </w:p>
    <w:p>
      <w:pPr>
        <w:pStyle w:val="ListParagraph"/>
        <w:numPr>
          <w:ilvl w:val="0"/>
          <w:numId w:val="2"/>
        </w:numPr>
        <w:spacing w:after="70" w:line="276"/>
      </w:pPr>
      <w:r>
        <w:rPr>
          <w:sz w:val="22"/>
          <w:szCs w:val="22"/>
        </w:rPr>
        <w:t xml:space="preserve">Terbiasa menggunakan software akuntansi digital yang juga digunakan di dunia kerja.</w:t>
      </w:r>
    </w:p>
    <w:p>
      <w:pPr>
        <w:pStyle w:val="ListParagraph"/>
        <w:numPr>
          <w:ilvl w:val="0"/>
          <w:numId w:val="2"/>
        </w:numPr>
        <w:spacing w:after="70" w:line="276"/>
      </w:pPr>
      <w:r>
        <w:rPr>
          <w:sz w:val="22"/>
          <w:szCs w:val="22"/>
        </w:rPr>
        <w:t xml:space="preserve">Belajar lebih interaktif melalui simulasi, kuis, dan studi kasus berbasis AI.</w:t>
      </w:r>
    </w:p>
    <w:p>
      <w:pPr>
        <w:pStyle w:val="ListParagraph"/>
        <w:numPr>
          <w:ilvl w:val="0"/>
          <w:numId w:val="2"/>
        </w:numPr>
        <w:spacing w:after="70" w:line="276"/>
      </w:pPr>
      <w:r>
        <w:rPr>
          <w:sz w:val="22"/>
          <w:szCs w:val="22"/>
        </w:rPr>
        <w:t xml:space="preserve">Mendapat umpan balik instan sehingga kesalahan dapat lebih cepat dikenali dan diperbaiki.</w:t>
      </w:r>
    </w:p>
    <w:p>
      <w:pPr>
        <w:pStyle w:val="ListParagraph"/>
        <w:numPr>
          <w:ilvl w:val="0"/>
          <w:numId w:val="2"/>
        </w:numPr>
        <w:spacing w:after="70" w:line="276"/>
      </w:pPr>
      <w:r>
        <w:rPr>
          <w:sz w:val="22"/>
          <w:szCs w:val="22"/>
        </w:rPr>
        <w:t xml:space="preserve">Terlatih berpikir kritis dalam memvalidasi dan menginterpretasi hasil kerja sistem otomatis.</w:t>
      </w:r>
    </w:p>
    <w:p>
      <w:pPr>
        <w:spacing w:after="80"/>
      </w:pPr>
    </w:p>
    <w:p>
      <w:pPr>
        <w:pStyle w:val="Heading1"/>
        <w:pBdr>
          <w:bottom w:val="single" w:color="1B6B77" w:sz="6" w:space="4"/>
        </w:pBdr>
        <w:spacing w:after="160" w:before="360"/>
      </w:pPr>
      <w:r>
        <w:rPr>
          <w:b/>
          <w:bCs/>
          <w:color w:val="13294B"/>
          <w:sz w:val="28"/>
          <w:szCs w:val="28"/>
        </w:rPr>
        <w:t xml:space="preserve">VI. Strategi Implementasi di Kelas</w:t>
      </w:r>
    </w:p>
    <w:p>
      <w:pPr>
        <w:pStyle w:val="ListParagraph"/>
        <w:numPr>
          <w:ilvl w:val="0"/>
          <w:numId w:val="3"/>
        </w:numPr>
        <w:spacing w:after="70" w:line="276"/>
      </w:pPr>
      <w:r>
        <w:rPr>
          <w:sz w:val="22"/>
          <w:szCs w:val="22"/>
        </w:rPr>
        <w:t xml:space="preserve">Literasi Digital Guru – Guru mengikuti pelatihan atau belajar mandiri mengenai dasar AI dan software akuntansi yang relevan dengan mata pelajaran yang diampu.</w:t>
      </w:r>
    </w:p>
    <w:p>
      <w:pPr>
        <w:pStyle w:val="ListParagraph"/>
        <w:numPr>
          <w:ilvl w:val="0"/>
          <w:numId w:val="3"/>
        </w:numPr>
        <w:spacing w:after="70" w:line="276"/>
      </w:pPr>
      <w:r>
        <w:rPr>
          <w:sz w:val="22"/>
          <w:szCs w:val="22"/>
        </w:rPr>
        <w:t xml:space="preserve">Pemetaan Materi – Menentukan bagian modul ajar/kompetensi dasar yang paling relevan dan realistis untuk diintegrasikan dengan tools digital.</w:t>
      </w:r>
    </w:p>
    <w:p>
      <w:pPr>
        <w:pStyle w:val="ListParagraph"/>
        <w:numPr>
          <w:ilvl w:val="0"/>
          <w:numId w:val="3"/>
        </w:numPr>
        <w:spacing w:after="70" w:line="276"/>
      </w:pPr>
      <w:r>
        <w:rPr>
          <w:sz w:val="22"/>
          <w:szCs w:val="22"/>
        </w:rPr>
        <w:t xml:space="preserve">Desain Aktivitas – Merancang aktivitas pembelajaran berbasis proyek yang memadukan praktik manual (sebagai dasar pemahaman konsep) dengan bantuan otomatisasi.</w:t>
      </w:r>
    </w:p>
    <w:p>
      <w:pPr>
        <w:pStyle w:val="ListParagraph"/>
        <w:numPr>
          <w:ilvl w:val="0"/>
          <w:numId w:val="3"/>
        </w:numPr>
        <w:spacing w:after="70" w:line="276"/>
      </w:pPr>
      <w:r>
        <w:rPr>
          <w:sz w:val="22"/>
          <w:szCs w:val="22"/>
        </w:rPr>
        <w:t xml:space="preserve">Uji Coba Terbatas – Menerapkan pada satu topik atau satu kelas terlebih dahulu, sembari mengumpulkan umpan balik dari peserta didik.</w:t>
      </w:r>
    </w:p>
    <w:p>
      <w:pPr>
        <w:pStyle w:val="ListParagraph"/>
        <w:numPr>
          <w:ilvl w:val="0"/>
          <w:numId w:val="3"/>
        </w:numPr>
        <w:spacing w:after="70" w:line="276"/>
      </w:pPr>
      <w:r>
        <w:rPr>
          <w:sz w:val="22"/>
          <w:szCs w:val="22"/>
        </w:rPr>
        <w:t xml:space="preserve">Refleksi dan Perluasan – Mengevaluasi hasil uji coba, menyempurnakan pendekatan, kemudian menerapkannya lebih luas serta membagikan pengalaman melalui forum MGMP.</w:t>
      </w:r>
    </w:p>
    <w:p>
      <w:pPr>
        <w:spacing w:after="80"/>
      </w:pPr>
    </w:p>
    <w:p>
      <w:pPr>
        <w:pStyle w:val="Heading1"/>
        <w:pBdr>
          <w:bottom w:val="single" w:color="1B6B77" w:sz="6" w:space="4"/>
        </w:pBdr>
        <w:spacing w:after="160" w:before="360"/>
      </w:pPr>
      <w:r>
        <w:rPr>
          <w:b/>
          <w:bCs/>
          <w:color w:val="13294B"/>
          <w:sz w:val="28"/>
          <w:szCs w:val="28"/>
        </w:rPr>
        <w:t xml:space="preserve">VII. Studi Kasus: Skenario Pembelajaran Berbasis Proyek</w:t>
      </w:r>
    </w:p>
    <w:p>
      <w:pPr>
        <w:shd w:fill="E4EFEF" w:val="clear"/>
        <w:spacing w:after="200" w:before="100"/>
      </w:pPr>
      <w:r>
        <w:rPr>
          <w:i/>
          <w:iCs/>
          <w:color w:val="1A1A1A"/>
          <w:sz w:val="21"/>
          <w:szCs w:val="21"/>
        </w:rPr>
        <w:t xml:space="preserve">Proyek: "Menyusun Laporan Keuangan UMKM Mitra Sekolah Berbasis Software Akuntansi Digital"</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400"/>
        <w:gridCol w:w="7200"/>
      </w:tblGrid>
      <w:tr>
        <w:tc>
          <w:tcPr>
            <w:tcW w:type="dxa" w:w="2400"/>
            <w:shd w:fill="13294B" w:val="clear"/>
            <w:tcMar>
              <w:top w:type="dxa" w:w="80"/>
              <w:left w:type="dxa" w:w="100"/>
              <w:bottom w:type="dxa" w:w="80"/>
              <w:right w:type="dxa" w:w="100"/>
            </w:tcMar>
            <w:vAlign w:val="center"/>
          </w:tcPr>
          <w:p>
            <w:pPr>
              <w:spacing w:after="40"/>
            </w:pPr>
            <w:r>
              <w:rPr>
                <w:b/>
                <w:bCs/>
                <w:color w:val="FFFFFF"/>
                <w:sz w:val="20"/>
                <w:szCs w:val="20"/>
              </w:rPr>
              <w:t xml:space="preserve">Tahapan</w:t>
            </w:r>
          </w:p>
        </w:tc>
        <w:tc>
          <w:tcPr>
            <w:tcW w:type="dxa" w:w="7200"/>
            <w:shd w:fill="13294B" w:val="clear"/>
            <w:tcMar>
              <w:top w:type="dxa" w:w="80"/>
              <w:left w:type="dxa" w:w="100"/>
              <w:bottom w:type="dxa" w:w="80"/>
              <w:right w:type="dxa" w:w="100"/>
            </w:tcMar>
            <w:vAlign w:val="center"/>
          </w:tcPr>
          <w:p>
            <w:pPr>
              <w:spacing w:after="40"/>
            </w:pPr>
            <w:r>
              <w:rPr>
                <w:b/>
                <w:bCs/>
                <w:color w:val="FFFFFF"/>
                <w:sz w:val="20"/>
                <w:szCs w:val="20"/>
              </w:rPr>
              <w:t xml:space="preserve">Kegiatan</w:t>
            </w:r>
          </w:p>
        </w:tc>
      </w:tr>
      <w:tr>
        <w:tc>
          <w:tcPr>
            <w:tcW w:type="dxa" w:w="2400"/>
            <w:tcMar>
              <w:top w:type="dxa" w:w="80"/>
              <w:left w:type="dxa" w:w="100"/>
              <w:bottom w:type="dxa" w:w="80"/>
              <w:right w:type="dxa" w:w="100"/>
            </w:tcMar>
            <w:vAlign w:val="center"/>
          </w:tcPr>
          <w:p>
            <w:pPr>
              <w:spacing w:after="40"/>
            </w:pPr>
            <w:r>
              <w:rPr>
                <w:sz w:val="20"/>
                <w:szCs w:val="20"/>
              </w:rPr>
              <w:t xml:space="preserve">1. Persiapan</w:t>
            </w:r>
          </w:p>
        </w:tc>
        <w:tc>
          <w:tcPr>
            <w:tcW w:type="dxa" w:w="7200"/>
            <w:tcMar>
              <w:top w:type="dxa" w:w="80"/>
              <w:left w:type="dxa" w:w="100"/>
              <w:bottom w:type="dxa" w:w="80"/>
              <w:right w:type="dxa" w:w="100"/>
            </w:tcMar>
            <w:vAlign w:val="center"/>
          </w:tcPr>
          <w:p>
            <w:pPr>
              <w:spacing w:after="40"/>
            </w:pPr>
            <w:r>
              <w:rPr>
                <w:sz w:val="20"/>
                <w:szCs w:val="20"/>
              </w:rPr>
              <w:t xml:space="preserve">Peserta didik berkelompok mengamati transaksi nyata UMKM mitra dan mendigitalkan bukti transaksi menggunakan aplikasi scan/OCR sederhana.</w:t>
            </w:r>
          </w:p>
        </w:tc>
      </w:tr>
      <w:tr>
        <w:tc>
          <w:tcPr>
            <w:tcW w:type="dxa" w:w="2400"/>
            <w:shd w:fill="F2F2F2" w:val="clear"/>
            <w:tcMar>
              <w:top w:type="dxa" w:w="80"/>
              <w:left w:type="dxa" w:w="100"/>
              <w:bottom w:type="dxa" w:w="80"/>
              <w:right w:type="dxa" w:w="100"/>
            </w:tcMar>
            <w:vAlign w:val="center"/>
          </w:tcPr>
          <w:p>
            <w:pPr>
              <w:spacing w:after="40"/>
            </w:pPr>
            <w:r>
              <w:rPr>
                <w:sz w:val="20"/>
                <w:szCs w:val="20"/>
              </w:rPr>
              <w:t xml:space="preserve">2. Pelaksanaan</w:t>
            </w:r>
          </w:p>
        </w:tc>
        <w:tc>
          <w:tcPr>
            <w:tcW w:type="dxa" w:w="7200"/>
            <w:shd w:fill="F2F2F2" w:val="clear"/>
            <w:tcMar>
              <w:top w:type="dxa" w:w="80"/>
              <w:left w:type="dxa" w:w="100"/>
              <w:bottom w:type="dxa" w:w="80"/>
              <w:right w:type="dxa" w:w="100"/>
            </w:tcMar>
            <w:vAlign w:val="center"/>
          </w:tcPr>
          <w:p>
            <w:pPr>
              <w:spacing w:after="40"/>
            </w:pPr>
            <w:r>
              <w:rPr>
                <w:sz w:val="20"/>
                <w:szCs w:val="20"/>
              </w:rPr>
              <w:t xml:space="preserve">Peserta didik menginput data transaksi ke software akuntansi digital (misalnya Accurate Online/Jurnal.id); fitur AI membantu mendeteksi entri yang janggal.</w:t>
            </w:r>
          </w:p>
        </w:tc>
      </w:tr>
      <w:tr>
        <w:tc>
          <w:tcPr>
            <w:tcW w:type="dxa" w:w="2400"/>
            <w:tcMar>
              <w:top w:type="dxa" w:w="80"/>
              <w:left w:type="dxa" w:w="100"/>
              <w:bottom w:type="dxa" w:w="80"/>
              <w:right w:type="dxa" w:w="100"/>
            </w:tcMar>
            <w:vAlign w:val="center"/>
          </w:tcPr>
          <w:p>
            <w:pPr>
              <w:spacing w:after="40"/>
            </w:pPr>
            <w:r>
              <w:rPr>
                <w:sz w:val="20"/>
                <w:szCs w:val="20"/>
              </w:rPr>
              <w:t xml:space="preserve">3. Analisis</w:t>
            </w:r>
          </w:p>
        </w:tc>
        <w:tc>
          <w:tcPr>
            <w:tcW w:type="dxa" w:w="7200"/>
            <w:tcMar>
              <w:top w:type="dxa" w:w="80"/>
              <w:left w:type="dxa" w:w="100"/>
              <w:bottom w:type="dxa" w:w="80"/>
              <w:right w:type="dxa" w:w="100"/>
            </w:tcMar>
            <w:vAlign w:val="center"/>
          </w:tcPr>
          <w:p>
            <w:pPr>
              <w:spacing w:after="40"/>
            </w:pPr>
            <w:r>
              <w:rPr>
                <w:sz w:val="20"/>
                <w:szCs w:val="20"/>
              </w:rPr>
              <w:t xml:space="preserve">Peserta didik membaca dashboard laporan otomatis, kemudian memvalidasi dan menganalisis kewajaran angka bersama guru.</w:t>
            </w:r>
          </w:p>
        </w:tc>
      </w:tr>
      <w:tr>
        <w:tc>
          <w:tcPr>
            <w:tcW w:type="dxa" w:w="2400"/>
            <w:shd w:fill="F2F2F2" w:val="clear"/>
            <w:tcMar>
              <w:top w:type="dxa" w:w="80"/>
              <w:left w:type="dxa" w:w="100"/>
              <w:bottom w:type="dxa" w:w="80"/>
              <w:right w:type="dxa" w:w="100"/>
            </w:tcMar>
            <w:vAlign w:val="center"/>
          </w:tcPr>
          <w:p>
            <w:pPr>
              <w:spacing w:after="40"/>
            </w:pPr>
            <w:r>
              <w:rPr>
                <w:sz w:val="20"/>
                <w:szCs w:val="20"/>
              </w:rPr>
              <w:t xml:space="preserve">4. Presentasi</w:t>
            </w:r>
          </w:p>
        </w:tc>
        <w:tc>
          <w:tcPr>
            <w:tcW w:type="dxa" w:w="7200"/>
            <w:shd w:fill="F2F2F2" w:val="clear"/>
            <w:tcMar>
              <w:top w:type="dxa" w:w="80"/>
              <w:left w:type="dxa" w:w="100"/>
              <w:bottom w:type="dxa" w:w="80"/>
              <w:right w:type="dxa" w:w="100"/>
            </w:tcMar>
            <w:vAlign w:val="center"/>
          </w:tcPr>
          <w:p>
            <w:pPr>
              <w:spacing w:after="40"/>
            </w:pPr>
            <w:r>
              <w:rPr>
                <w:sz w:val="20"/>
                <w:szCs w:val="20"/>
              </w:rPr>
              <w:t xml:space="preserve">Setiap kelompok mempresentasikan laporan keuangan beserta rekomendasi usaha kepada pemilik UMKM dan teman sekelas.</w:t>
            </w:r>
          </w:p>
        </w:tc>
      </w:tr>
    </w:tbl>
    <w:p>
      <w:pPr>
        <w:spacing w:after="80"/>
      </w:pPr>
    </w:p>
    <w:p>
      <w:pPr>
        <w:pStyle w:val="Heading1"/>
        <w:pBdr>
          <w:bottom w:val="single" w:color="1B6B77" w:sz="6" w:space="4"/>
        </w:pBdr>
        <w:spacing w:after="160" w:before="360"/>
      </w:pPr>
      <w:r>
        <w:rPr>
          <w:b/>
          <w:bCs/>
          <w:color w:val="13294B"/>
          <w:sz w:val="28"/>
          <w:szCs w:val="28"/>
        </w:rPr>
        <w:t xml:space="preserve">VIII. Tantangan dan Solusi Penerapan</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4700"/>
        <w:gridCol w:w="4900"/>
      </w:tblGrid>
      <w:tr>
        <w:tc>
          <w:tcPr>
            <w:tcW w:type="dxa" w:w="4700"/>
            <w:shd w:fill="13294B" w:val="clear"/>
            <w:tcMar>
              <w:top w:type="dxa" w:w="80"/>
              <w:left w:type="dxa" w:w="100"/>
              <w:bottom w:type="dxa" w:w="80"/>
              <w:right w:type="dxa" w:w="100"/>
            </w:tcMar>
            <w:vAlign w:val="center"/>
          </w:tcPr>
          <w:p>
            <w:pPr>
              <w:spacing w:after="40"/>
            </w:pPr>
            <w:r>
              <w:rPr>
                <w:b/>
                <w:bCs/>
                <w:color w:val="FFFFFF"/>
                <w:sz w:val="20"/>
                <w:szCs w:val="20"/>
              </w:rPr>
              <w:t xml:space="preserve">Tantangan</w:t>
            </w:r>
          </w:p>
        </w:tc>
        <w:tc>
          <w:tcPr>
            <w:tcW w:type="dxa" w:w="4900"/>
            <w:shd w:fill="13294B" w:val="clear"/>
            <w:tcMar>
              <w:top w:type="dxa" w:w="80"/>
              <w:left w:type="dxa" w:w="100"/>
              <w:bottom w:type="dxa" w:w="80"/>
              <w:right w:type="dxa" w:w="100"/>
            </w:tcMar>
            <w:vAlign w:val="center"/>
          </w:tcPr>
          <w:p>
            <w:pPr>
              <w:spacing w:after="40"/>
            </w:pPr>
            <w:r>
              <w:rPr>
                <w:b/>
                <w:bCs/>
                <w:color w:val="FFFFFF"/>
                <w:sz w:val="20"/>
                <w:szCs w:val="20"/>
              </w:rPr>
              <w:t xml:space="preserve">Solusi</w:t>
            </w:r>
          </w:p>
        </w:tc>
      </w:tr>
      <w:tr>
        <w:tc>
          <w:tcPr>
            <w:tcW w:type="dxa" w:w="4700"/>
            <w:tcMar>
              <w:top w:type="dxa" w:w="80"/>
              <w:left w:type="dxa" w:w="100"/>
              <w:bottom w:type="dxa" w:w="80"/>
              <w:right w:type="dxa" w:w="100"/>
            </w:tcMar>
            <w:vAlign w:val="center"/>
          </w:tcPr>
          <w:p>
            <w:pPr>
              <w:spacing w:after="40"/>
            </w:pPr>
            <w:r>
              <w:rPr>
                <w:sz w:val="20"/>
                <w:szCs w:val="20"/>
              </w:rPr>
              <w:t xml:space="preserve">Keterbatasan infrastruktur (perangkat &amp; internet) di sekolah</w:t>
            </w:r>
          </w:p>
        </w:tc>
        <w:tc>
          <w:tcPr>
            <w:tcW w:type="dxa" w:w="4900"/>
            <w:tcMar>
              <w:top w:type="dxa" w:w="80"/>
              <w:left w:type="dxa" w:w="100"/>
              <w:bottom w:type="dxa" w:w="80"/>
              <w:right w:type="dxa" w:w="100"/>
            </w:tcMar>
            <w:vAlign w:val="center"/>
          </w:tcPr>
          <w:p>
            <w:pPr>
              <w:spacing w:after="40"/>
            </w:pPr>
            <w:r>
              <w:rPr>
                <w:sz w:val="20"/>
                <w:szCs w:val="20"/>
              </w:rPr>
              <w:t xml:space="preserve">Memanfaatkan lab komputer/HP peserta didik secara bergiliran; memilih tools ringan berbasis web/mobile</w:t>
            </w:r>
          </w:p>
        </w:tc>
      </w:tr>
      <w:tr>
        <w:tc>
          <w:tcPr>
            <w:tcW w:type="dxa" w:w="4700"/>
            <w:shd w:fill="F2F2F2" w:val="clear"/>
            <w:tcMar>
              <w:top w:type="dxa" w:w="80"/>
              <w:left w:type="dxa" w:w="100"/>
              <w:bottom w:type="dxa" w:w="80"/>
              <w:right w:type="dxa" w:w="100"/>
            </w:tcMar>
            <w:vAlign w:val="center"/>
          </w:tcPr>
          <w:p>
            <w:pPr>
              <w:spacing w:after="40"/>
            </w:pPr>
            <w:r>
              <w:rPr>
                <w:sz w:val="20"/>
                <w:szCs w:val="20"/>
              </w:rPr>
              <w:t xml:space="preserve">Kesiapan dan kepercayaan diri guru terhadap teknologi baru</w:t>
            </w:r>
          </w:p>
        </w:tc>
        <w:tc>
          <w:tcPr>
            <w:tcW w:type="dxa" w:w="4900"/>
            <w:shd w:fill="F2F2F2" w:val="clear"/>
            <w:tcMar>
              <w:top w:type="dxa" w:w="80"/>
              <w:left w:type="dxa" w:w="100"/>
              <w:bottom w:type="dxa" w:w="80"/>
              <w:right w:type="dxa" w:w="100"/>
            </w:tcMar>
            <w:vAlign w:val="center"/>
          </w:tcPr>
          <w:p>
            <w:pPr>
              <w:spacing w:after="40"/>
            </w:pPr>
            <w:r>
              <w:rPr>
                <w:sz w:val="20"/>
                <w:szCs w:val="20"/>
              </w:rPr>
              <w:t xml:space="preserve">Pelatihan bertahap melalui MGMP, belajar mandiri, dan pendampingan sesama guru (peer coaching)</w:t>
            </w:r>
          </w:p>
        </w:tc>
      </w:tr>
      <w:tr>
        <w:tc>
          <w:tcPr>
            <w:tcW w:type="dxa" w:w="4700"/>
            <w:tcMar>
              <w:top w:type="dxa" w:w="80"/>
              <w:left w:type="dxa" w:w="100"/>
              <w:bottom w:type="dxa" w:w="80"/>
              <w:right w:type="dxa" w:w="100"/>
            </w:tcMar>
            <w:vAlign w:val="center"/>
          </w:tcPr>
          <w:p>
            <w:pPr>
              <w:spacing w:after="40"/>
            </w:pPr>
            <w:r>
              <w:rPr>
                <w:sz w:val="20"/>
                <w:szCs w:val="20"/>
              </w:rPr>
              <w:t xml:space="preserve">Risiko ketergantungan peserta didik pada hasil otomatis tanpa memahami konsep dasar</w:t>
            </w:r>
          </w:p>
        </w:tc>
        <w:tc>
          <w:tcPr>
            <w:tcW w:type="dxa" w:w="4900"/>
            <w:tcMar>
              <w:top w:type="dxa" w:w="80"/>
              <w:left w:type="dxa" w:w="100"/>
              <w:bottom w:type="dxa" w:w="80"/>
              <w:right w:type="dxa" w:w="100"/>
            </w:tcMar>
            <w:vAlign w:val="center"/>
          </w:tcPr>
          <w:p>
            <w:pPr>
              <w:spacing w:after="40"/>
            </w:pPr>
            <w:r>
              <w:rPr>
                <w:sz w:val="20"/>
                <w:szCs w:val="20"/>
              </w:rPr>
              <w:t xml:space="preserve">Tetap mengajarkan konsep akuntansi manual sebagai dasar sebelum masuk ke praktik digital</w:t>
            </w:r>
          </w:p>
        </w:tc>
      </w:tr>
      <w:tr>
        <w:tc>
          <w:tcPr>
            <w:tcW w:type="dxa" w:w="4700"/>
            <w:shd w:fill="F2F2F2" w:val="clear"/>
            <w:tcMar>
              <w:top w:type="dxa" w:w="80"/>
              <w:left w:type="dxa" w:w="100"/>
              <w:bottom w:type="dxa" w:w="80"/>
              <w:right w:type="dxa" w:w="100"/>
            </w:tcMar>
            <w:vAlign w:val="center"/>
          </w:tcPr>
          <w:p>
            <w:pPr>
              <w:spacing w:after="40"/>
            </w:pPr>
            <w:r>
              <w:rPr>
                <w:sz w:val="20"/>
                <w:szCs w:val="20"/>
              </w:rPr>
              <w:t xml:space="preserve">Aspek etika: keaslian tugas dan penggunaan AI generatif secara bijak</w:t>
            </w:r>
          </w:p>
        </w:tc>
        <w:tc>
          <w:tcPr>
            <w:tcW w:type="dxa" w:w="4900"/>
            <w:shd w:fill="F2F2F2" w:val="clear"/>
            <w:tcMar>
              <w:top w:type="dxa" w:w="80"/>
              <w:left w:type="dxa" w:w="100"/>
              <w:bottom w:type="dxa" w:w="80"/>
              <w:right w:type="dxa" w:w="100"/>
            </w:tcMar>
            <w:vAlign w:val="center"/>
          </w:tcPr>
          <w:p>
            <w:pPr>
              <w:spacing w:after="40"/>
            </w:pPr>
            <w:r>
              <w:rPr>
                <w:sz w:val="20"/>
                <w:szCs w:val="20"/>
              </w:rPr>
              <w:t xml:space="preserve">Menyusun panduan penggunaan AI yang jelas serta melatih peserta didik bersikap kritis dan jujur akademik</w:t>
            </w:r>
          </w:p>
        </w:tc>
      </w:tr>
    </w:tbl>
    <w:p>
      <w:pPr>
        <w:spacing w:after="80"/>
      </w:pPr>
    </w:p>
    <w:p>
      <w:pPr>
        <w:pStyle w:val="Heading1"/>
        <w:pBdr>
          <w:bottom w:val="single" w:color="1B6B77" w:sz="6" w:space="4"/>
        </w:pBdr>
        <w:spacing w:after="160" w:before="360"/>
      </w:pPr>
      <w:r>
        <w:rPr>
          <w:b/>
          <w:bCs/>
          <w:color w:val="13294B"/>
          <w:sz w:val="28"/>
          <w:szCs w:val="28"/>
        </w:rPr>
        <w:t xml:space="preserve">IX. Rencana Tindak Lanjut untuk MGMP Akuntansi</w:t>
      </w:r>
    </w:p>
    <w:p>
      <w:pPr>
        <w:pStyle w:val="ListParagraph"/>
        <w:numPr>
          <w:ilvl w:val="0"/>
          <w:numId w:val="2"/>
        </w:numPr>
        <w:spacing w:after="70" w:line="276"/>
      </w:pPr>
      <w:r>
        <w:rPr>
          <w:sz w:val="22"/>
          <w:szCs w:val="22"/>
        </w:rPr>
        <w:t xml:space="preserve">Pelatihan Bersama – Menyelenggarakan workshop rutin MGMP tentang software akuntansi digital dan pemanfaatan AI generatif.</w:t>
      </w:r>
    </w:p>
    <w:p>
      <w:pPr>
        <w:pStyle w:val="ListParagraph"/>
        <w:numPr>
          <w:ilvl w:val="0"/>
          <w:numId w:val="2"/>
        </w:numPr>
        <w:spacing w:after="70" w:line="276"/>
      </w:pPr>
      <w:r>
        <w:rPr>
          <w:sz w:val="22"/>
          <w:szCs w:val="22"/>
        </w:rPr>
        <w:t xml:space="preserve">Bank Soal Kolaboratif – Menyusun bank soal dan studi kasus berbasis AI secara bersama, yang dapat digunakan lintas sekolah anggota MGMP.</w:t>
      </w:r>
    </w:p>
    <w:p>
      <w:pPr>
        <w:pStyle w:val="ListParagraph"/>
        <w:numPr>
          <w:ilvl w:val="0"/>
          <w:numId w:val="2"/>
        </w:numPr>
        <w:spacing w:after="70" w:line="276"/>
      </w:pPr>
      <w:r>
        <w:rPr>
          <w:sz w:val="22"/>
          <w:szCs w:val="22"/>
        </w:rPr>
        <w:t xml:space="preserve">Sharing Praktik Baik – Membuka forum berbagi pengalaman penerapan AI di kelas antaranggota MGMP secara berkala setiap semester.</w:t>
      </w:r>
    </w:p>
    <w:p>
      <w:pPr>
        <w:pStyle w:val="ListParagraph"/>
        <w:numPr>
          <w:ilvl w:val="0"/>
          <w:numId w:val="2"/>
        </w:numPr>
        <w:spacing w:after="70" w:line="276"/>
      </w:pPr>
      <w:r>
        <w:rPr>
          <w:sz w:val="22"/>
          <w:szCs w:val="22"/>
        </w:rPr>
        <w:t xml:space="preserve">Kemitraan DUDI – Menjajaki kerja sama dengan UMKM/industri terkait sistem akuntansi digital yang mereka gunakan sebagai bahan praktik nyata.</w:t>
      </w:r>
    </w:p>
    <w:p>
      <w:pPr>
        <w:spacing w:after="80"/>
      </w:pPr>
    </w:p>
    <w:p>
      <w:pPr>
        <w:pStyle w:val="Heading1"/>
        <w:pBdr>
          <w:bottom w:val="single" w:color="1B6B77" w:sz="6" w:space="4"/>
        </w:pBdr>
        <w:spacing w:after="160" w:before="360"/>
      </w:pPr>
      <w:r>
        <w:rPr>
          <w:b/>
          <w:bCs/>
          <w:color w:val="13294B"/>
          <w:sz w:val="28"/>
          <w:szCs w:val="28"/>
        </w:rPr>
        <w:t xml:space="preserve">X. Kesimpulan</w:t>
      </w:r>
    </w:p>
    <w:p>
      <w:pPr>
        <w:pStyle w:val="ListParagraph"/>
        <w:numPr>
          <w:ilvl w:val="0"/>
          <w:numId w:val="3"/>
        </w:numPr>
        <w:spacing w:after="70" w:line="276"/>
      </w:pPr>
      <w:r>
        <w:rPr>
          <w:sz w:val="22"/>
          <w:szCs w:val="22"/>
        </w:rPr>
        <w:t xml:space="preserve">AI dan digital automation bukan pengganti guru maupun akuntan, melainkan alat bantu yang mempercepat proses rutin dan membuka ruang bagi analisis serta pengambilan keputusan yang lebih bermakna.</w:t>
      </w:r>
    </w:p>
    <w:p>
      <w:pPr>
        <w:pStyle w:val="ListParagraph"/>
        <w:numPr>
          <w:ilvl w:val="0"/>
          <w:numId w:val="3"/>
        </w:numPr>
        <w:spacing w:after="70" w:line="276"/>
      </w:pPr>
      <w:r>
        <w:rPr>
          <w:sz w:val="22"/>
          <w:szCs w:val="22"/>
        </w:rPr>
        <w:t xml:space="preserve">Integrasi teknologi ini perlu dilakukan secara bertahap: dimulai dari peningkatan literasi digital guru, uji coba terbatas, hingga penerapan yang lebih luas dan terukur.</w:t>
      </w:r>
    </w:p>
    <w:p>
      <w:pPr>
        <w:pStyle w:val="ListParagraph"/>
        <w:numPr>
          <w:ilvl w:val="0"/>
          <w:numId w:val="3"/>
        </w:numPr>
        <w:spacing w:after="70" w:line="276"/>
      </w:pPr>
      <w:r>
        <w:rPr>
          <w:sz w:val="22"/>
          <w:szCs w:val="22"/>
        </w:rPr>
        <w:t xml:space="preserve">Kolaborasi melalui forum MGMP menjadi kunci agar transformasi pembelajaran akuntansi berbasis digital ini dapat berjalan merata dan berkelanjutan di seluruh sekolah, bukan hanya menjadi inisiatif perorangan.</w:t>
      </w:r>
    </w:p>
    <w:p>
      <w:pPr>
        <w:spacing w:after="80"/>
      </w:pPr>
    </w:p>
    <w:p>
      <w:pPr>
        <w:pStyle w:val="Heading1"/>
        <w:pBdr>
          <w:bottom w:val="single" w:color="1B6B77" w:sz="6" w:space="4"/>
        </w:pBdr>
        <w:spacing w:after="160" w:before="360"/>
      </w:pPr>
      <w:r>
        <w:rPr>
          <w:b/>
          <w:bCs/>
          <w:color w:val="13294B"/>
          <w:sz w:val="28"/>
          <w:szCs w:val="28"/>
        </w:rPr>
        <w:t xml:space="preserve">XI. Referensi dan Sumber Belajar Lanjutan</w:t>
      </w:r>
    </w:p>
    <w:p>
      <w:pPr>
        <w:pStyle w:val="ListParagraph"/>
        <w:numPr>
          <w:ilvl w:val="0"/>
          <w:numId w:val="2"/>
        </w:numPr>
        <w:spacing w:after="70" w:line="276"/>
      </w:pPr>
      <w:r>
        <w:rPr>
          <w:sz w:val="22"/>
          <w:szCs w:val="22"/>
        </w:rPr>
        <w:t xml:space="preserve">Kementerian Pendidikan Dasar dan Menengah – Panduan Pembelajaran Mendalam (Deep Learning) dan Kurikulum SMK.</w:t>
      </w:r>
    </w:p>
    <w:p>
      <w:pPr>
        <w:pStyle w:val="ListParagraph"/>
        <w:numPr>
          <w:ilvl w:val="0"/>
          <w:numId w:val="2"/>
        </w:numPr>
        <w:spacing w:after="70" w:line="276"/>
      </w:pPr>
      <w:r>
        <w:rPr>
          <w:sz w:val="22"/>
          <w:szCs w:val="22"/>
        </w:rPr>
        <w:t xml:space="preserve">Dokumentasi resmi software akuntansi: Accurate Online, Jurnal.id, Zahir Accounting, Xero, QuickBooks.</w:t>
      </w:r>
    </w:p>
    <w:p>
      <w:pPr>
        <w:pStyle w:val="ListParagraph"/>
        <w:numPr>
          <w:ilvl w:val="0"/>
          <w:numId w:val="2"/>
        </w:numPr>
        <w:spacing w:after="70" w:line="276"/>
      </w:pPr>
      <w:r>
        <w:rPr>
          <w:sz w:val="22"/>
          <w:szCs w:val="22"/>
        </w:rPr>
        <w:t xml:space="preserve">Situs dan dokumentasi resmi Anthropic (Claude) dan OpenAI (ChatGPT) untuk pemanfaatan AI generatif dalam pendidikan.</w:t>
      </w:r>
    </w:p>
    <w:p>
      <w:pPr>
        <w:pStyle w:val="ListParagraph"/>
        <w:numPr>
          <w:ilvl w:val="0"/>
          <w:numId w:val="2"/>
        </w:numPr>
        <w:spacing w:after="70" w:line="276"/>
      </w:pPr>
      <w:r>
        <w:rPr>
          <w:sz w:val="22"/>
          <w:szCs w:val="22"/>
        </w:rPr>
        <w:t xml:space="preserve">Publikasi asosiasi profesi akuntansi mengenai tren otomatisasi dan AI dalam praktik akuntansi (IAI, IFAC, ACCA).</w:t>
      </w:r>
    </w:p>
    <w:p>
      <w:pPr>
        <w:pStyle w:val="ListParagraph"/>
        <w:numPr>
          <w:ilvl w:val="0"/>
          <w:numId w:val="2"/>
        </w:numPr>
        <w:spacing w:after="70" w:line="276"/>
      </w:pPr>
      <w:r>
        <w:rPr>
          <w:sz w:val="22"/>
          <w:szCs w:val="22"/>
        </w:rPr>
        <w:t xml:space="preserve">Modul dan pelatihan digitalisasi UMKM dari Kementerian Koperasi dan UKM sebagai konteks studi kasus praktik.</w:t>
      </w:r>
    </w:p>
    <w:p>
      <w:pPr>
        <w:spacing w:after="80"/>
      </w:pPr>
    </w:p>
    <w:p>
      <w:pPr>
        <w:pBdr>
          <w:top w:val="single" w:color="1B6B77" w:sz="4" w:space="8"/>
        </w:pBdr>
        <w:spacing w:before="300"/>
        <w:jc w:val="center"/>
      </w:pPr>
    </w:p>
    <w:p>
      <w:pPr>
        <w:spacing w:before="200"/>
        <w:jc w:val="center"/>
      </w:pPr>
      <w:r>
        <w:rPr>
          <w:i/>
          <w:iCs/>
          <w:sz w:val="20"/>
          <w:szCs w:val="20"/>
        </w:rPr>
        <w:t xml:space="preserve">Disusun oleh:</w:t>
      </w:r>
    </w:p>
    <w:p>
      <w:pPr>
        <w:jc w:val="center"/>
      </w:pPr>
      <w:r>
        <w:rPr>
          <w:b/>
          <w:bCs/>
          <w:color w:val="13294B"/>
          <w:sz w:val="24"/>
          <w:szCs w:val="24"/>
        </w:rPr>
        <w:t xml:space="preserve">IDI PAYUNG, S.S.T.</w:t>
      </w:r>
    </w:p>
    <w:p>
      <w:pPr>
        <w:jc w:val="center"/>
      </w:pPr>
      <w:r>
        <w:rPr>
          <w:sz w:val="20"/>
          <w:szCs w:val="20"/>
        </w:rPr>
        <w:t xml:space="preserve">SMK Negeri 1 Simpang Kiri</w:t>
      </w:r>
    </w:p>
    <w:sectPr>
      <w:headerReference w:type="default" r:id="rId7"/>
      <w:footerReference w:type="default" r:id="rId8"/>
      <w:pgSz w:w="11906" w:h="16838" w:orient="portrait"/>
      <w:pgMar w:top="1134" w:right="1134" w:bottom="1134"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08080"/>
        <w:sz w:val="16"/>
        <w:szCs w:val="16"/>
      </w:rPr>
      <w:t xml:space="preserve">Idi Payung, S.S.T. — SMK Negeri 1 Simpang Kiri — </w:t>
    </w:r>
    <w:r>
      <w:rPr>
        <w:color w:val="8080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B6B77" w:sz="4" w:space="4"/>
      </w:pBdr>
      <w:jc w:val="right"/>
    </w:pPr>
    <w:r>
      <w:rPr>
        <w:i/>
        <w:iCs/>
        <w:color w:val="808080"/>
        <w:sz w:val="15"/>
        <w:szCs w:val="15"/>
      </w:rPr>
      <w:t xml:space="preserve">Ringkasan Materi MGMP – Integrasi AI &amp; Digital Automation dalam Pembelajaran Akuntansi SMK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abstractNum w:abstractNumId="3" w15:restartNumberingAfterBreak="0">
    <w:multiLevelType w:val="hybridMultilevel"/>
    <w:lvl w:ilvl="0" w15:tentative="1">
      <w:start w:val="1"/>
      <w:numFmt w:val="decimal"/>
      <w:lvlText w:val="%1."/>
      <w:lvlJc w:val="left"/>
      <w:pPr>
        <w:ind w:left="576"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2026-09-23T01:56:03.483Z</dcterms:created>
  <dcterms:modified xsi:type="dcterms:W3CDTF">2026-09-23T01:56:03.483Z</dcterms:modified>
</cp:coreProperties>
</file>

<file path=docProps/custom.xml><?xml version="1.0" encoding="utf-8"?>
<Properties xmlns="http://schemas.openxmlformats.org/officeDocument/2006/custom-properties" xmlns:vt="http://schemas.openxmlformats.org/officeDocument/2006/docPropsVTypes"/>
</file>