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jc w:val="center"/>
      </w:pPr>
      <w:r>
        <w:rPr>
          <w:b/>
          <w:bCs/>
          <w:color w:val="1F3864"/>
          <w:sz w:val="30"/>
          <w:szCs w:val="30"/>
        </w:rPr>
        <w:t xml:space="preserve">MATERI KEGIATAN MGMP</w:t>
      </w:r>
    </w:p>
    <w:p>
      <w:pPr>
        <w:spacing w:after="200"/>
        <w:jc w:val="center"/>
      </w:pPr>
      <w:r>
        <w:rPr>
          <w:b/>
          <w:bCs/>
          <w:color w:val="1F3864"/>
          <w:sz w:val="30"/>
          <w:szCs w:val="30"/>
        </w:rPr>
        <w:t xml:space="preserve">AGRIBISNIS PERIKANAN AIR TAWAR</w:t>
      </w:r>
    </w:p>
    <w:p>
      <w:pPr>
        <w:spacing w:after="60"/>
        <w:jc w:val="center"/>
      </w:pPr>
      <w:r>
        <w:rPr>
          <w:b/>
          <w:bCs/>
          <w:color w:val="0E7C7B"/>
          <w:sz w:val="26"/>
          <w:szCs w:val="26"/>
        </w:rPr>
        <w:t xml:space="preserve">Simulasi / Try Out TKA Tahap I</w:t>
      </w:r>
    </w:p>
    <w:p>
      <w:pPr>
        <w:spacing w:after="300"/>
        <w:jc w:val="center"/>
      </w:pPr>
      <w:r>
        <w:rPr>
          <w:i/>
          <w:iCs/>
          <w:color w:val="444444"/>
          <w:sz w:val="22"/>
          <w:szCs w:val="22"/>
        </w:rPr>
        <w:t xml:space="preserve">Mapel Wajib Terintegrasi &amp; Soal Kompetensi Keahlian Berbasis HOTS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6300"/>
      </w:tblGrid>
      <w:tr>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Mata Pelajaran</w:t>
            </w:r>
          </w:p>
        </w:tc>
        <w:tc>
          <w:tcPr>
            <w:tcW w:type="dxa" w:w="6300"/>
            <w:shd w:fill="FFFFFF" w:val="clear"/>
            <w:tcMar>
              <w:top w:type="dxa" w:w="80"/>
              <w:left w:type="dxa" w:w="100"/>
              <w:bottom w:type="dxa" w:w="80"/>
              <w:right w:type="dxa" w:w="100"/>
            </w:tcMar>
          </w:tcPr>
          <w:p>
            <w:pPr>
              <w:jc w:val="left"/>
            </w:pPr>
            <w:r>
              <w:rPr>
                <w:b w:val="false"/>
                <w:bCs w:val="false"/>
                <w:color w:val="000000"/>
                <w:sz w:val="19"/>
                <w:szCs w:val="19"/>
              </w:rPr>
              <w:t xml:space="preserve">Produk Kreatif dan Kewirausahaan (PKK) &amp; Konsentrasi Keahlian Agribisnis Perikanan Air Tawar (APAT)</w:t>
            </w:r>
          </w:p>
        </w:tc>
      </w:tr>
      <w:tr>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Hari / Tanggal</w:t>
            </w:r>
          </w:p>
        </w:tc>
        <w:tc>
          <w:tcPr>
            <w:tcW w:type="dxa" w:w="6300"/>
            <w:shd w:fill="F2F2F2" w:val="clear"/>
            <w:tcMar>
              <w:top w:type="dxa" w:w="80"/>
              <w:left w:type="dxa" w:w="100"/>
              <w:bottom w:type="dxa" w:w="80"/>
              <w:right w:type="dxa" w:w="100"/>
            </w:tcMar>
          </w:tcPr>
          <w:p>
            <w:pPr>
              <w:jc w:val="left"/>
            </w:pPr>
            <w:r>
              <w:rPr>
                <w:b w:val="false"/>
                <w:bCs w:val="false"/>
                <w:color w:val="000000"/>
                <w:sz w:val="19"/>
                <w:szCs w:val="19"/>
              </w:rPr>
              <w:t xml:space="preserve">Sesuai jadwal kegiatan MGMP</w:t>
            </w:r>
          </w:p>
        </w:tc>
      </w:tr>
      <w:tr>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Waktu</w:t>
            </w:r>
          </w:p>
        </w:tc>
        <w:tc>
          <w:tcPr>
            <w:tcW w:type="dxa" w:w="6300"/>
            <w:shd w:fill="FFFFFF" w:val="clear"/>
            <w:tcMar>
              <w:top w:type="dxa" w:w="80"/>
              <w:left w:type="dxa" w:w="100"/>
              <w:bottom w:type="dxa" w:w="80"/>
              <w:right w:type="dxa" w:w="100"/>
            </w:tcMar>
          </w:tcPr>
          <w:p>
            <w:pPr>
              <w:jc w:val="left"/>
            </w:pPr>
            <w:r>
              <w:rPr>
                <w:b w:val="false"/>
                <w:bCs w:val="false"/>
                <w:color w:val="000000"/>
                <w:sz w:val="19"/>
                <w:szCs w:val="19"/>
              </w:rPr>
              <w:t xml:space="preserve">11.00 - 13.00 WIB (120 menit)</w:t>
            </w:r>
          </w:p>
        </w:tc>
      </w:tr>
      <w:tr>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Pemateri</w:t>
            </w:r>
          </w:p>
        </w:tc>
        <w:tc>
          <w:tcPr>
            <w:tcW w:type="dxa" w:w="6300"/>
            <w:shd w:fill="F2F2F2" w:val="clear"/>
            <w:tcMar>
              <w:top w:type="dxa" w:w="80"/>
              <w:left w:type="dxa" w:w="100"/>
              <w:bottom w:type="dxa" w:w="80"/>
              <w:right w:type="dxa" w:w="100"/>
            </w:tcMar>
          </w:tcPr>
          <w:p>
            <w:pPr>
              <w:jc w:val="left"/>
            </w:pPr>
            <w:r>
              <w:rPr>
                <w:b w:val="false"/>
                <w:bCs w:val="false"/>
                <w:color w:val="000000"/>
                <w:sz w:val="19"/>
                <w:szCs w:val="19"/>
              </w:rPr>
              <w:t xml:space="preserve">Ade Kayana, S.Pi — Ketua MGMP Agribisnis Perikanan Air Tawar</w:t>
            </w:r>
          </w:p>
        </w:tc>
      </w:tr>
      <w:tr>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Sasaran</w:t>
            </w:r>
          </w:p>
        </w:tc>
        <w:tc>
          <w:tcPr>
            <w:tcW w:type="dxa" w:w="6300"/>
            <w:shd w:fill="FFFFFF" w:val="clear"/>
            <w:tcMar>
              <w:top w:type="dxa" w:w="80"/>
              <w:left w:type="dxa" w:w="100"/>
              <w:bottom w:type="dxa" w:w="80"/>
              <w:right w:type="dxa" w:w="100"/>
            </w:tcMar>
          </w:tcPr>
          <w:p>
            <w:pPr>
              <w:jc w:val="left"/>
            </w:pPr>
            <w:r>
              <w:rPr>
                <w:b w:val="false"/>
                <w:bCs w:val="false"/>
                <w:color w:val="000000"/>
                <w:sz w:val="19"/>
                <w:szCs w:val="19"/>
              </w:rPr>
              <w:t xml:space="preserve">Guru PKK dan Guru Kompetensi/Konsentrasi Keahlian APAT se-MGMP</w:t>
            </w:r>
          </w:p>
        </w:tc>
      </w:tr>
    </w:tbl>
    <w:p>
      <w:pPr>
        <w:spacing w:before="400"/>
      </w:pPr>
      <w:r>
        <w:br w:type="page"/>
      </w:r>
    </w:p>
    <w:p>
      <w:pPr>
        <w:pStyle w:val="Heading1"/>
        <w:pBdr>
          <w:bottom w:val="single" w:color="0E7C7B" w:sz="6" w:space="4"/>
        </w:pBdr>
        <w:spacing w:after="160" w:before="320"/>
      </w:pPr>
      <w:r>
        <w:rPr>
          <w:b/>
          <w:bCs/>
          <w:color w:val="1F3864"/>
          <w:sz w:val="27"/>
          <w:szCs w:val="27"/>
        </w:rPr>
        <w:t xml:space="preserve">I. Latar Belakang dan Tujuan</w:t>
      </w:r>
    </w:p>
    <w:p>
      <w:pPr>
        <w:spacing w:after="120" w:line="300"/>
      </w:pPr>
      <w:r>
        <w:rPr>
          <w:sz w:val="21"/>
          <w:szCs w:val="21"/>
        </w:rPr>
        <w:t xml:space="preserve">Mulai tahun 2026, Kementerian Pendidikan Dasar dan Menengah (Kemendikdasmen) resmi menggantikan mekanisme evaluasi capaian akademik individual siswa jenjang SMA/MA dan SMK/MAK dengan Tes Kemampuan Akademik (TKA). Payung kebijakannya adalah Permendikdasmen Nomor 9 Tahun 2025 tentang Tes Kemampuan Akademik, Peraturan Kepala BSKAP Nomor 045/H/AN/2025 tentang Kerangka Asesmen TKA, Kepmendikdasmen Nomor 56 Tahun 2026 tentang Pedoman Penyelenggaraan TKA dan AN, serta petunjuk teknis dari BKPDM. TKA jenjang SMA/SMK tahun 2026 dijadwalkan berlangsung 26 Oktober - 8 November 2026.</w:t>
      </w:r>
    </w:p>
    <w:p>
      <w:pPr>
        <w:spacing w:after="120" w:line="300"/>
      </w:pPr>
      <w:r>
        <w:rPr>
          <w:sz w:val="21"/>
          <w:szCs w:val="21"/>
        </w:rPr>
        <w:t xml:space="preserve">Karena hasil TKA akan menjadi indikator capaian akademik sekaligus bahan pertimbangan seleksi lanjutan siswa, sekolah perlu membekali siswa dengan latihan yang terarah. Oleh karena itu, MGMP Agribisnis Perikanan Air Tawar memandang perlu menyelenggarakan Simulasi/Try Out TKA Tahap I, khususnya untuk mata pelajaran pilihan SMK yaitu Produk Kreatif dan Kewirausahaan (PKK) dan Konsentrasi/Kompetensi Keahlian Agribisnis Perikanan Air Tawar (APAT), dengan soal yang disusun berbasis HOTS (Higher Order Thinking Skills) dan terintegrasi dengan kompetensi literasi-numerasi pada mapel wajib.</w:t>
      </w:r>
    </w:p>
    <w:p>
      <w:pPr>
        <w:pStyle w:val="Heading2"/>
        <w:spacing w:after="100" w:before="220"/>
      </w:pPr>
      <w:r>
        <w:rPr>
          <w:b/>
          <w:bCs/>
          <w:color w:val="0E7C7B"/>
          <w:sz w:val="24"/>
          <w:szCs w:val="24"/>
        </w:rPr>
        <w:t xml:space="preserve">Tujuan Kegiatan</w:t>
      </w:r>
    </w:p>
    <w:p>
      <w:pPr>
        <w:pStyle w:val="ListParagraph"/>
        <w:numPr>
          <w:ilvl w:val="0"/>
          <w:numId w:val="2"/>
        </w:numPr>
        <w:spacing w:after="80" w:line="290"/>
      </w:pPr>
      <w:r>
        <w:rPr>
          <w:sz w:val="21"/>
          <w:szCs w:val="21"/>
        </w:rPr>
        <w:t xml:space="preserve">Menyamakan persepsi guru tentang kebijakan, struktur, dan kerangka asesmen TKA 2026, khususnya untuk mata uji pilihan SMK.</w:t>
      </w:r>
    </w:p>
    <w:p>
      <w:pPr>
        <w:pStyle w:val="ListParagraph"/>
        <w:numPr>
          <w:ilvl w:val="0"/>
          <w:numId w:val="2"/>
        </w:numPr>
        <w:spacing w:after="80" w:line="290"/>
      </w:pPr>
      <w:r>
        <w:rPr>
          <w:sz w:val="21"/>
          <w:szCs w:val="21"/>
        </w:rPr>
        <w:t xml:space="preserve">Membekali guru dengan kaidah penyusunan soal HOTS yang terintegrasi antara mapel wajib (literasi membaca, numerasi) dengan kompetensi keahlian PKK dan APAT.</w:t>
      </w:r>
    </w:p>
    <w:p>
      <w:pPr>
        <w:pStyle w:val="ListParagraph"/>
        <w:numPr>
          <w:ilvl w:val="0"/>
          <w:numId w:val="2"/>
        </w:numPr>
        <w:spacing w:after="80" w:line="290"/>
      </w:pPr>
      <w:r>
        <w:rPr>
          <w:sz w:val="21"/>
          <w:szCs w:val="21"/>
        </w:rPr>
        <w:t xml:space="preserve">Menghasilkan kisi-kisi dan kartu soal try out Tahap I yang siap diujicobakan kepada siswa kelas XI dan XII di masing-masing sekolah.</w:t>
      </w:r>
    </w:p>
    <w:p>
      <w:pPr>
        <w:pStyle w:val="ListParagraph"/>
        <w:numPr>
          <w:ilvl w:val="0"/>
          <w:numId w:val="2"/>
        </w:numPr>
        <w:spacing w:after="80" w:line="290"/>
      </w:pPr>
      <w:r>
        <w:rPr>
          <w:sz w:val="21"/>
          <w:szCs w:val="21"/>
        </w:rPr>
        <w:t xml:space="preserve">Menyusun rencana tindak lanjut pelaksanaan simulasi/try out di sekolah masing-masing anggota MGMP.</w:t>
      </w:r>
    </w:p>
    <w:p>
      <w:pPr>
        <w:pStyle w:val="Heading1"/>
        <w:pBdr>
          <w:bottom w:val="single" w:color="0E7C7B" w:sz="6" w:space="4"/>
        </w:pBdr>
        <w:spacing w:after="160" w:before="320"/>
      </w:pPr>
      <w:r>
        <w:rPr>
          <w:b/>
          <w:bCs/>
          <w:color w:val="1F3864"/>
          <w:sz w:val="27"/>
          <w:szCs w:val="27"/>
        </w:rPr>
        <w:t xml:space="preserve">II. Kebijakan dan Struktur TKA 2026</w:t>
      </w:r>
    </w:p>
    <w:p>
      <w:pPr>
        <w:spacing w:after="120" w:line="300"/>
      </w:pPr>
      <w:r>
        <w:rPr>
          <w:sz w:val="21"/>
          <w:szCs w:val="21"/>
        </w:rPr>
        <w:t xml:space="preserve">Seluruh peserta TKA jenjang SMA/SMK wajib mengerjakan tiga mata pelajaran wajib berikut:</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600"/>
        <w:gridCol w:w="3300"/>
        <w:gridCol w:w="4600"/>
      </w:tblGrid>
      <w:tr>
        <w:trPr>
          <w:tblHeader/>
        </w:trPr>
        <w:tc>
          <w:tcPr>
            <w:tcW w:type="dxa" w:w="1600"/>
            <w:shd w:fill="1F3864" w:val="clear"/>
            <w:tcMar>
              <w:top w:type="dxa" w:w="80"/>
              <w:left w:type="dxa" w:w="100"/>
              <w:bottom w:type="dxa" w:w="80"/>
              <w:right w:type="dxa" w:w="100"/>
            </w:tcMar>
          </w:tcPr>
          <w:p>
            <w:pPr>
              <w:jc w:val="center"/>
            </w:pPr>
            <w:r>
              <w:rPr>
                <w:b/>
                <w:bCs/>
                <w:color w:val="FFFFFF"/>
                <w:sz w:val="19"/>
                <w:szCs w:val="19"/>
              </w:rPr>
              <w:t xml:space="preserve">Hari</w:t>
            </w:r>
          </w:p>
        </w:tc>
        <w:tc>
          <w:tcPr>
            <w:tcW w:type="dxa" w:w="3300"/>
            <w:shd w:fill="1F3864" w:val="clear"/>
            <w:tcMar>
              <w:top w:type="dxa" w:w="80"/>
              <w:left w:type="dxa" w:w="100"/>
              <w:bottom w:type="dxa" w:w="80"/>
              <w:right w:type="dxa" w:w="100"/>
            </w:tcMar>
          </w:tcPr>
          <w:p>
            <w:pPr>
              <w:jc w:val="center"/>
            </w:pPr>
            <w:r>
              <w:rPr>
                <w:b/>
                <w:bCs/>
                <w:color w:val="FFFFFF"/>
                <w:sz w:val="19"/>
                <w:szCs w:val="19"/>
              </w:rPr>
              <w:t xml:space="preserve">Mata Pelajaran Wajib</w:t>
            </w:r>
          </w:p>
        </w:tc>
        <w:tc>
          <w:tcPr>
            <w:tcW w:type="dxa" w:w="4600"/>
            <w:shd w:fill="1F3864" w:val="clear"/>
            <w:tcMar>
              <w:top w:type="dxa" w:w="80"/>
              <w:left w:type="dxa" w:w="100"/>
              <w:bottom w:type="dxa" w:w="80"/>
              <w:right w:type="dxa" w:w="100"/>
            </w:tcMar>
          </w:tcPr>
          <w:p>
            <w:pPr>
              <w:jc w:val="center"/>
            </w:pPr>
            <w:r>
              <w:rPr>
                <w:b/>
                <w:bCs/>
                <w:color w:val="FFFFFF"/>
                <w:sz w:val="19"/>
                <w:szCs w:val="19"/>
              </w:rPr>
              <w:t xml:space="preserve">Fokus Kompetensi</w:t>
            </w:r>
          </w:p>
        </w:tc>
      </w:tr>
      <w:tr>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Hari ke-1</w:t>
            </w:r>
          </w:p>
        </w:tc>
        <w:tc>
          <w:tcPr>
            <w:tcW w:type="dxa" w:w="3300"/>
            <w:shd w:fill="FFFFFF" w:val="clear"/>
            <w:tcMar>
              <w:top w:type="dxa" w:w="80"/>
              <w:left w:type="dxa" w:w="100"/>
              <w:bottom w:type="dxa" w:w="80"/>
              <w:right w:type="dxa" w:w="100"/>
            </w:tcMar>
          </w:tcPr>
          <w:p>
            <w:pPr>
              <w:jc w:val="left"/>
            </w:pPr>
            <w:r>
              <w:rPr>
                <w:b w:val="false"/>
                <w:bCs w:val="false"/>
                <w:color w:val="000000"/>
                <w:sz w:val="19"/>
                <w:szCs w:val="19"/>
              </w:rPr>
              <w:t xml:space="preserve">Bahasa Indonesia</w:t>
            </w:r>
          </w:p>
        </w:tc>
        <w:tc>
          <w:tcPr>
            <w:tcW w:type="dxa" w:w="4600"/>
            <w:shd w:fill="FFFFFF" w:val="clear"/>
            <w:tcMar>
              <w:top w:type="dxa" w:w="80"/>
              <w:left w:type="dxa" w:w="100"/>
              <w:bottom w:type="dxa" w:w="80"/>
              <w:right w:type="dxa" w:w="100"/>
            </w:tcMar>
          </w:tcPr>
          <w:p>
            <w:pPr>
              <w:jc w:val="left"/>
            </w:pPr>
            <w:r>
              <w:rPr>
                <w:b w:val="false"/>
                <w:bCs w:val="false"/>
                <w:color w:val="000000"/>
                <w:sz w:val="19"/>
                <w:szCs w:val="19"/>
              </w:rPr>
              <w:t xml:space="preserve">Literasi membaca (dilaksanakan bersamaan dengan Survei Karakter)</w:t>
            </w:r>
          </w:p>
        </w:tc>
      </w:tr>
      <w:tr>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Hari ke-2</w:t>
            </w:r>
          </w:p>
        </w:tc>
        <w:tc>
          <w:tcPr>
            <w:tcW w:type="dxa" w:w="3300"/>
            <w:shd w:fill="F2F2F2" w:val="clear"/>
            <w:tcMar>
              <w:top w:type="dxa" w:w="80"/>
              <w:left w:type="dxa" w:w="100"/>
              <w:bottom w:type="dxa" w:w="80"/>
              <w:right w:type="dxa" w:w="100"/>
            </w:tcMar>
          </w:tcPr>
          <w:p>
            <w:pPr>
              <w:jc w:val="left"/>
            </w:pPr>
            <w:r>
              <w:rPr>
                <w:b w:val="false"/>
                <w:bCs w:val="false"/>
                <w:color w:val="000000"/>
                <w:sz w:val="19"/>
                <w:szCs w:val="19"/>
              </w:rPr>
              <w:t xml:space="preserve">Bahasa Inggris</w:t>
            </w:r>
          </w:p>
        </w:tc>
        <w:tc>
          <w:tcPr>
            <w:tcW w:type="dxa" w:w="4600"/>
            <w:shd w:fill="F2F2F2" w:val="clear"/>
            <w:tcMar>
              <w:top w:type="dxa" w:w="80"/>
              <w:left w:type="dxa" w:w="100"/>
              <w:bottom w:type="dxa" w:w="80"/>
              <w:right w:type="dxa" w:w="100"/>
            </w:tcMar>
          </w:tcPr>
          <w:p>
            <w:pPr>
              <w:jc w:val="left"/>
            </w:pPr>
            <w:r>
              <w:rPr>
                <w:b w:val="false"/>
                <w:bCs w:val="false"/>
                <w:color w:val="000000"/>
                <w:sz w:val="19"/>
                <w:szCs w:val="19"/>
              </w:rPr>
              <w:t xml:space="preserve">Literasi membaca berbahasa Inggris (bersamaan Survei Lingkungan Belajar)</w:t>
            </w:r>
          </w:p>
        </w:tc>
      </w:tr>
      <w:tr>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Hari ke-3</w:t>
            </w:r>
          </w:p>
        </w:tc>
        <w:tc>
          <w:tcPr>
            <w:tcW w:type="dxa" w:w="3300"/>
            <w:shd w:fill="FFFFFF" w:val="clear"/>
            <w:tcMar>
              <w:top w:type="dxa" w:w="80"/>
              <w:left w:type="dxa" w:w="100"/>
              <w:bottom w:type="dxa" w:w="80"/>
              <w:right w:type="dxa" w:w="100"/>
            </w:tcMar>
          </w:tcPr>
          <w:p>
            <w:pPr>
              <w:jc w:val="left"/>
            </w:pPr>
            <w:r>
              <w:rPr>
                <w:b w:val="false"/>
                <w:bCs w:val="false"/>
                <w:color w:val="000000"/>
                <w:sz w:val="19"/>
                <w:szCs w:val="19"/>
              </w:rPr>
              <w:t xml:space="preserve">Matematika</w:t>
            </w:r>
          </w:p>
        </w:tc>
        <w:tc>
          <w:tcPr>
            <w:tcW w:type="dxa" w:w="4600"/>
            <w:shd w:fill="FFFFFF" w:val="clear"/>
            <w:tcMar>
              <w:top w:type="dxa" w:w="80"/>
              <w:left w:type="dxa" w:w="100"/>
              <w:bottom w:type="dxa" w:w="80"/>
              <w:right w:type="dxa" w:w="100"/>
            </w:tcMar>
          </w:tcPr>
          <w:p>
            <w:pPr>
              <w:jc w:val="left"/>
            </w:pPr>
            <w:r>
              <w:rPr>
                <w:b w:val="false"/>
                <w:bCs w:val="false"/>
                <w:color w:val="000000"/>
                <w:sz w:val="19"/>
                <w:szCs w:val="19"/>
              </w:rPr>
              <w:t xml:space="preserve">Numerasi: bilangan, aljabar, geometri, trigonometri, data &amp; peluang</w:t>
            </w:r>
          </w:p>
        </w:tc>
      </w:tr>
    </w:tbl>
    <w:p>
      <w:pPr>
        <w:spacing w:after="160"/>
      </w:pPr>
    </w:p>
    <w:p>
      <w:pPr>
        <w:spacing w:after="120" w:line="300"/>
      </w:pPr>
      <w:r>
        <w:rPr>
          <w:sz w:val="21"/>
          <w:szCs w:val="21"/>
        </w:rPr>
        <w:t xml:space="preserve">Khusus untuk peserta SMK/MAK, terdapat dua mata uji pilihan tambahan dengan ketentuan sebagai berikut:</w:t>
      </w:r>
    </w:p>
    <w:p>
      <w:pPr>
        <w:pStyle w:val="ListParagraph"/>
        <w:numPr>
          <w:ilvl w:val="0"/>
          <w:numId w:val="2"/>
        </w:numPr>
        <w:spacing w:after="80" w:line="290"/>
      </w:pPr>
      <w:r>
        <w:rPr>
          <w:sz w:val="21"/>
          <w:szCs w:val="21"/>
        </w:rPr>
        <w:t xml:space="preserve">Pilihan pertama WAJIB dipilih: Produk atau Projek Kreatif dan Kewirausahaan (PKK).</w:t>
      </w:r>
    </w:p>
    <w:p>
      <w:pPr>
        <w:pStyle w:val="ListParagraph"/>
        <w:numPr>
          <w:ilvl w:val="0"/>
          <w:numId w:val="2"/>
        </w:numPr>
        <w:spacing w:after="80" w:line="290"/>
      </w:pPr>
      <w:r>
        <w:rPr>
          <w:sz w:val="21"/>
          <w:szCs w:val="21"/>
        </w:rPr>
        <w:t xml:space="preserve">Pilihan kedua: disesuaikan dengan program/konsentrasi keahlian masing-masing siswa — untuk peserta didik program Agribisnis Perikanan Air Tawar, mata uji ini adalah Kompetensi Keahlian Agribisnis Perikanan Air Tawar.</w:t>
      </w:r>
    </w:p>
    <w:p>
      <w:pPr>
        <w:pStyle w:val="ListParagraph"/>
        <w:numPr>
          <w:ilvl w:val="0"/>
          <w:numId w:val="2"/>
        </w:numPr>
        <w:spacing w:after="80" w:line="290"/>
      </w:pPr>
      <w:r>
        <w:rPr>
          <w:sz w:val="21"/>
          <w:szCs w:val="21"/>
        </w:rPr>
        <w:t xml:space="preserve">Total terdapat kurang lebih 50 mata uji kejuruan yang dikelompokkan berdasarkan rumpun program/konsentrasi keahlian di seluruh Indonesia.</w:t>
      </w:r>
    </w:p>
    <w:p>
      <w:pPr>
        <w:pStyle w:val="ListParagraph"/>
        <w:numPr>
          <w:ilvl w:val="0"/>
          <w:numId w:val="2"/>
        </w:numPr>
        <w:spacing w:after="80" w:line="290"/>
      </w:pPr>
      <w:r>
        <w:rPr>
          <w:sz w:val="21"/>
          <w:szCs w:val="21"/>
        </w:rPr>
        <w:t xml:space="preserve">Bentuk soal terdiri atas soal tunggal (berdiri sendiri) dan soal grup (beberapa butir mengacu pada satu stimulus/wacana yang sama).</w:t>
      </w:r>
    </w:p>
    <w:p>
      <w:pPr>
        <w:pStyle w:val="Heading2"/>
        <w:spacing w:after="100" w:before="220"/>
      </w:pPr>
      <w:r>
        <w:rPr>
          <w:b/>
          <w:bCs/>
          <w:color w:val="0E7C7B"/>
          <w:sz w:val="24"/>
          <w:szCs w:val="24"/>
        </w:rPr>
        <w:t xml:space="preserve">Tiga Level Kompetensi pada Mata Uji Kejuruan</w:t>
      </w:r>
    </w:p>
    <w:p>
      <w:pPr>
        <w:spacing w:after="120" w:line="300"/>
      </w:pPr>
      <w:r>
        <w:rPr>
          <w:sz w:val="21"/>
          <w:szCs w:val="21"/>
        </w:rPr>
        <w:t xml:space="preserve">Kerangka asesmen TKA menetapkan tiga level kompetensi yang diukur pada setiap mata uji kejuruan (termasuk PKK dan APAT), yaitu:</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00"/>
        <w:gridCol w:w="2800"/>
        <w:gridCol w:w="5900"/>
      </w:tblGrid>
      <w:tr>
        <w:trPr>
          <w:tblHeader/>
        </w:trPr>
        <w:tc>
          <w:tcPr>
            <w:tcW w:type="dxa" w:w="700"/>
            <w:shd w:fill="1F3864" w:val="clear"/>
            <w:tcMar>
              <w:top w:type="dxa" w:w="80"/>
              <w:left w:type="dxa" w:w="100"/>
              <w:bottom w:type="dxa" w:w="80"/>
              <w:right w:type="dxa" w:w="100"/>
            </w:tcMar>
          </w:tcPr>
          <w:p>
            <w:pPr>
              <w:jc w:val="center"/>
            </w:pPr>
            <w:r>
              <w:rPr>
                <w:b/>
                <w:bCs/>
                <w:color w:val="FFFFFF"/>
                <w:sz w:val="19"/>
                <w:szCs w:val="19"/>
              </w:rPr>
              <w:t xml:space="preserve">Level</w:t>
            </w:r>
          </w:p>
        </w:tc>
        <w:tc>
          <w:tcPr>
            <w:tcW w:type="dxa" w:w="2800"/>
            <w:shd w:fill="1F3864" w:val="clear"/>
            <w:tcMar>
              <w:top w:type="dxa" w:w="80"/>
              <w:left w:type="dxa" w:w="100"/>
              <w:bottom w:type="dxa" w:w="80"/>
              <w:right w:type="dxa" w:w="100"/>
            </w:tcMar>
          </w:tcPr>
          <w:p>
            <w:pPr>
              <w:jc w:val="center"/>
            </w:pPr>
            <w:r>
              <w:rPr>
                <w:b/>
                <w:bCs/>
                <w:color w:val="FFFFFF"/>
                <w:sz w:val="19"/>
                <w:szCs w:val="19"/>
              </w:rPr>
              <w:t xml:space="preserve">Nama</w:t>
            </w:r>
          </w:p>
        </w:tc>
        <w:tc>
          <w:tcPr>
            <w:tcW w:type="dxa" w:w="5900"/>
            <w:shd w:fill="1F3864" w:val="clear"/>
            <w:tcMar>
              <w:top w:type="dxa" w:w="80"/>
              <w:left w:type="dxa" w:w="100"/>
              <w:bottom w:type="dxa" w:w="80"/>
              <w:right w:type="dxa" w:w="100"/>
            </w:tcMar>
          </w:tcPr>
          <w:p>
            <w:pPr>
              <w:jc w:val="center"/>
            </w:pPr>
            <w:r>
              <w:rPr>
                <w:b/>
                <w:bCs/>
                <w:color w:val="FFFFFF"/>
                <w:sz w:val="19"/>
                <w:szCs w:val="19"/>
              </w:rPr>
              <w:t xml:space="preserve">Deskripsi</w:t>
            </w:r>
          </w:p>
        </w:tc>
      </w:tr>
      <w:tr>
        <w:tc>
          <w:tcPr>
            <w:tcW w:type="dxa" w:w="700"/>
            <w:shd w:fill="FFFFFF" w:val="clear"/>
            <w:tcMar>
              <w:top w:type="dxa" w:w="80"/>
              <w:left w:type="dxa" w:w="100"/>
              <w:bottom w:type="dxa" w:w="80"/>
              <w:right w:type="dxa" w:w="100"/>
            </w:tcMar>
          </w:tcPr>
          <w:p>
            <w:pPr>
              <w:jc w:val="left"/>
            </w:pPr>
            <w:r>
              <w:rPr>
                <w:b w:val="false"/>
                <w:bCs w:val="false"/>
                <w:color w:val="000000"/>
                <w:sz w:val="19"/>
                <w:szCs w:val="19"/>
              </w:rPr>
              <w:t xml:space="preserve">1</w:t>
            </w:r>
          </w:p>
        </w:tc>
        <w:tc>
          <w:tcPr>
            <w:tcW w:type="dxa" w:w="2800"/>
            <w:shd w:fill="FFFFFF" w:val="clear"/>
            <w:tcMar>
              <w:top w:type="dxa" w:w="80"/>
              <w:left w:type="dxa" w:w="100"/>
              <w:bottom w:type="dxa" w:w="80"/>
              <w:right w:type="dxa" w:w="100"/>
            </w:tcMar>
          </w:tcPr>
          <w:p>
            <w:pPr>
              <w:jc w:val="left"/>
            </w:pPr>
            <w:r>
              <w:rPr>
                <w:b w:val="false"/>
                <w:bCs w:val="false"/>
                <w:color w:val="000000"/>
                <w:sz w:val="19"/>
                <w:szCs w:val="19"/>
              </w:rPr>
              <w:t xml:space="preserve">Pengetahuan dan Pemahaman</w:t>
            </w:r>
          </w:p>
        </w:tc>
        <w:tc>
          <w:tcPr>
            <w:tcW w:type="dxa" w:w="5900"/>
            <w:shd w:fill="FFFFFF" w:val="clear"/>
            <w:tcMar>
              <w:top w:type="dxa" w:w="80"/>
              <w:left w:type="dxa" w:w="100"/>
              <w:bottom w:type="dxa" w:w="80"/>
              <w:right w:type="dxa" w:w="100"/>
            </w:tcMar>
          </w:tcPr>
          <w:p>
            <w:pPr>
              <w:jc w:val="left"/>
            </w:pPr>
            <w:r>
              <w:rPr>
                <w:b w:val="false"/>
                <w:bCs w:val="false"/>
                <w:color w:val="000000"/>
                <w:sz w:val="19"/>
                <w:szCs w:val="19"/>
              </w:rPr>
              <w:t xml:space="preserve">Mengingat dan memahami fakta, konsep, istilah, prosedur dasar dalam bidang keahlian.</w:t>
            </w:r>
          </w:p>
        </w:tc>
      </w:tr>
      <w:tr>
        <w:tc>
          <w:tcPr>
            <w:tcW w:type="dxa" w:w="700"/>
            <w:shd w:fill="F2F2F2" w:val="clear"/>
            <w:tcMar>
              <w:top w:type="dxa" w:w="80"/>
              <w:left w:type="dxa" w:w="100"/>
              <w:bottom w:type="dxa" w:w="80"/>
              <w:right w:type="dxa" w:w="100"/>
            </w:tcMar>
          </w:tcPr>
          <w:p>
            <w:pPr>
              <w:jc w:val="left"/>
            </w:pPr>
            <w:r>
              <w:rPr>
                <w:b w:val="false"/>
                <w:bCs w:val="false"/>
                <w:color w:val="000000"/>
                <w:sz w:val="19"/>
                <w:szCs w:val="19"/>
              </w:rPr>
              <w:t xml:space="preserve">2</w:t>
            </w:r>
          </w:p>
        </w:tc>
        <w:tc>
          <w:tcPr>
            <w:tcW w:type="dxa" w:w="2800"/>
            <w:shd w:fill="F2F2F2" w:val="clear"/>
            <w:tcMar>
              <w:top w:type="dxa" w:w="80"/>
              <w:left w:type="dxa" w:w="100"/>
              <w:bottom w:type="dxa" w:w="80"/>
              <w:right w:type="dxa" w:w="100"/>
            </w:tcMar>
          </w:tcPr>
          <w:p>
            <w:pPr>
              <w:jc w:val="left"/>
            </w:pPr>
            <w:r>
              <w:rPr>
                <w:b w:val="false"/>
                <w:bCs w:val="false"/>
                <w:color w:val="000000"/>
                <w:sz w:val="19"/>
                <w:szCs w:val="19"/>
              </w:rPr>
              <w:t xml:space="preserve">Aplikasi / Penerapan</w:t>
            </w:r>
          </w:p>
        </w:tc>
        <w:tc>
          <w:tcPr>
            <w:tcW w:type="dxa" w:w="5900"/>
            <w:shd w:fill="F2F2F2" w:val="clear"/>
            <w:tcMar>
              <w:top w:type="dxa" w:w="80"/>
              <w:left w:type="dxa" w:w="100"/>
              <w:bottom w:type="dxa" w:w="80"/>
              <w:right w:type="dxa" w:w="100"/>
            </w:tcMar>
          </w:tcPr>
          <w:p>
            <w:pPr>
              <w:jc w:val="left"/>
            </w:pPr>
            <w:r>
              <w:rPr>
                <w:b w:val="false"/>
                <w:bCs w:val="false"/>
                <w:color w:val="000000"/>
                <w:sz w:val="19"/>
                <w:szCs w:val="19"/>
              </w:rPr>
              <w:t xml:space="preserve">Menerapkan konsep, prinsip, prosedur, metode, teknologi, dan keterampilan (termasuk K3LH) sesuai bidang keahlian dalam situasi kerja nyata.</w:t>
            </w:r>
          </w:p>
        </w:tc>
      </w:tr>
      <w:tr>
        <w:tc>
          <w:tcPr>
            <w:tcW w:type="dxa" w:w="700"/>
            <w:shd w:fill="FFFFFF" w:val="clear"/>
            <w:tcMar>
              <w:top w:type="dxa" w:w="80"/>
              <w:left w:type="dxa" w:w="100"/>
              <w:bottom w:type="dxa" w:w="80"/>
              <w:right w:type="dxa" w:w="100"/>
            </w:tcMar>
          </w:tcPr>
          <w:p>
            <w:pPr>
              <w:jc w:val="left"/>
            </w:pPr>
            <w:r>
              <w:rPr>
                <w:b w:val="false"/>
                <w:bCs w:val="false"/>
                <w:color w:val="000000"/>
                <w:sz w:val="19"/>
                <w:szCs w:val="19"/>
              </w:rPr>
              <w:t xml:space="preserve">3</w:t>
            </w:r>
          </w:p>
        </w:tc>
        <w:tc>
          <w:tcPr>
            <w:tcW w:type="dxa" w:w="2800"/>
            <w:shd w:fill="FFFFFF" w:val="clear"/>
            <w:tcMar>
              <w:top w:type="dxa" w:w="80"/>
              <w:left w:type="dxa" w:w="100"/>
              <w:bottom w:type="dxa" w:w="80"/>
              <w:right w:type="dxa" w:w="100"/>
            </w:tcMar>
          </w:tcPr>
          <w:p>
            <w:pPr>
              <w:jc w:val="left"/>
            </w:pPr>
            <w:r>
              <w:rPr>
                <w:b w:val="false"/>
                <w:bCs w:val="false"/>
                <w:color w:val="000000"/>
                <w:sz w:val="19"/>
                <w:szCs w:val="19"/>
              </w:rPr>
              <w:t xml:space="preserve">Penalaran (HOTS)</w:t>
            </w:r>
          </w:p>
        </w:tc>
        <w:tc>
          <w:tcPr>
            <w:tcW w:type="dxa" w:w="5900"/>
            <w:shd w:fill="FFFFFF" w:val="clear"/>
            <w:tcMar>
              <w:top w:type="dxa" w:w="80"/>
              <w:left w:type="dxa" w:w="100"/>
              <w:bottom w:type="dxa" w:w="80"/>
              <w:right w:type="dxa" w:w="100"/>
            </w:tcMar>
          </w:tcPr>
          <w:p>
            <w:pPr>
              <w:jc w:val="left"/>
            </w:pPr>
            <w:r>
              <w:rPr>
                <w:b w:val="false"/>
                <w:bCs w:val="false"/>
                <w:color w:val="000000"/>
                <w:sz w:val="19"/>
                <w:szCs w:val="19"/>
              </w:rPr>
              <w:t xml:space="preserve">Menganalisis permasalahan, membandingkan kondisi, mengevaluasi tindakan, mengambil keputusan, dan menentukan solusi atas kasus di industri/lapangan.</w:t>
            </w:r>
          </w:p>
        </w:tc>
      </w:tr>
    </w:tbl>
    <w:p>
      <w:pPr>
        <w:pBdr>
          <w:left w:val="single" w:color="0E7C7B" w:sz="18" w:space="6"/>
        </w:pBdr>
        <w:shd w:fill="EAF2F1" w:val="clear"/>
        <w:spacing w:after="160"/>
      </w:pPr>
      <w:r>
        <w:rPr>
          <w:i/>
          <w:iCs/>
          <w:color w:val="333333"/>
          <w:sz w:val="20"/>
          <w:szCs w:val="20"/>
        </w:rPr>
        <w:t xml:space="preserve">Catatan: rincian teknis (jumlah butir, alokasi waktu per mapel, bobot tiap level) mengacu pada Kerangka Asesmen TKA BSKAP No. 045/H/AN/2025 dan dapat diperbarui melalui edaran resmi Kemendikdasmen/Pusmendik menjelang pelaksanaan. Pastikan pengurus MGMP selalu mengecek pembaruan resmi terbaru sebelum menetapkan kisi-kisi final.</w:t>
      </w:r>
    </w:p>
    <w:p>
      <w:pPr>
        <w:pStyle w:val="Heading1"/>
        <w:pBdr>
          <w:bottom w:val="single" w:color="0E7C7B" w:sz="6" w:space="4"/>
        </w:pBdr>
        <w:spacing w:after="160" w:before="320"/>
      </w:pPr>
      <w:r>
        <w:rPr>
          <w:b/>
          <w:bCs/>
          <w:color w:val="1F3864"/>
          <w:sz w:val="27"/>
          <w:szCs w:val="27"/>
        </w:rPr>
        <w:t xml:space="preserve">III. Makna "Terintegrasi" pada Try Out Tahap I</w:t>
      </w:r>
    </w:p>
    <w:p>
      <w:pPr>
        <w:spacing w:after="120" w:line="300"/>
      </w:pPr>
      <w:r>
        <w:rPr>
          <w:sz w:val="21"/>
          <w:szCs w:val="21"/>
        </w:rPr>
        <w:t xml:space="preserve">Try Out Tahap I dirancang agar siswa terbiasa menghadapi soal yang tidak berdiri sendiri per mapel, melainkan satu stimulus/wacana yang memuat muatan literasi, numerasi, dan kompetensi keahlian sekaligus — sebagaimana pola soal grup pada TKA sesungguhnya. Contoh integrasi yang dapat digunakan:</w:t>
      </w:r>
    </w:p>
    <w:p>
      <w:pPr>
        <w:pStyle w:val="ListParagraph"/>
        <w:numPr>
          <w:ilvl w:val="0"/>
          <w:numId w:val="2"/>
        </w:numPr>
        <w:spacing w:after="80" w:line="290"/>
      </w:pPr>
      <w:r>
        <w:rPr>
          <w:sz w:val="21"/>
          <w:szCs w:val="21"/>
        </w:rPr>
        <w:t xml:space="preserve">Stimulus berupa artikel/kasus tentang pembudidaya ikan air tawar → soal literasi (memahami isi &amp; simpulan teks), soal numerasi (menghitung FCR, BEP, atau ROI), soal Kompetensi Keahlian APAT (menganalisis manajemen kualitas air/pakan), dan soal PKK (menilai kelayakan usaha budidaya).</w:t>
      </w:r>
    </w:p>
    <w:p>
      <w:pPr>
        <w:pStyle w:val="ListParagraph"/>
        <w:numPr>
          <w:ilvl w:val="0"/>
          <w:numId w:val="2"/>
        </w:numPr>
        <w:spacing w:after="80" w:line="290"/>
      </w:pPr>
      <w:r>
        <w:rPr>
          <w:sz w:val="21"/>
          <w:szCs w:val="21"/>
        </w:rPr>
        <w:t xml:space="preserve">Satu data tabel produksi/keuangan usaha perikanan dapat menjadi dasar beberapa butir soal lintas kompetensi sekaligus, sesuai prinsip soal grup.</w:t>
      </w:r>
    </w:p>
    <w:p>
      <w:pPr>
        <w:pStyle w:val="Heading1"/>
        <w:pBdr>
          <w:bottom w:val="single" w:color="0E7C7B" w:sz="6" w:space="4"/>
        </w:pBdr>
        <w:spacing w:after="160" w:before="320"/>
      </w:pPr>
      <w:r>
        <w:rPr>
          <w:b/>
          <w:bCs/>
          <w:color w:val="1F3864"/>
          <w:sz w:val="27"/>
          <w:szCs w:val="27"/>
        </w:rPr>
        <w:t xml:space="preserve">IV. Kaidah Penyusunan Soal HOTS</w:t>
      </w:r>
    </w:p>
    <w:p>
      <w:pPr>
        <w:pStyle w:val="ListParagraph"/>
        <w:numPr>
          <w:ilvl w:val="0"/>
          <w:numId w:val="2"/>
        </w:numPr>
        <w:spacing w:after="80" w:line="290"/>
      </w:pPr>
      <w:r>
        <w:rPr>
          <w:sz w:val="21"/>
          <w:szCs w:val="21"/>
        </w:rPr>
        <w:t xml:space="preserve">Gunakan stimulus kontekstual: kasus nyata di lapangan/industri (kolam pendederan, unit usaha olahan ikan, laporan keuangan usaha), bukan sekadar pertanyaan teori lepas.</w:t>
      </w:r>
    </w:p>
    <w:p>
      <w:pPr>
        <w:pStyle w:val="ListParagraph"/>
        <w:numPr>
          <w:ilvl w:val="0"/>
          <w:numId w:val="2"/>
        </w:numPr>
        <w:spacing w:after="80" w:line="290"/>
      </w:pPr>
      <w:r>
        <w:rPr>
          <w:sz w:val="21"/>
          <w:szCs w:val="21"/>
        </w:rPr>
        <w:t xml:space="preserve">Rumusan soal menuntut proses berpikir level analisis-evaluasi-mencipta (C4-C6), bukan sekadar mengingat (C1) atau memahami (C2).</w:t>
      </w:r>
    </w:p>
    <w:p>
      <w:pPr>
        <w:pStyle w:val="ListParagraph"/>
        <w:numPr>
          <w:ilvl w:val="0"/>
          <w:numId w:val="2"/>
        </w:numPr>
        <w:spacing w:after="80" w:line="290"/>
      </w:pPr>
      <w:r>
        <w:rPr>
          <w:sz w:val="21"/>
          <w:szCs w:val="21"/>
        </w:rPr>
        <w:t xml:space="preserve">Satu stimulus dapat dipakai untuk beberapa butir soal (soal grup) agar efisien dan melatih pola soal TKA.</w:t>
      </w:r>
    </w:p>
    <w:p>
      <w:pPr>
        <w:pStyle w:val="ListParagraph"/>
        <w:numPr>
          <w:ilvl w:val="0"/>
          <w:numId w:val="2"/>
        </w:numPr>
        <w:spacing w:after="80" w:line="290"/>
      </w:pPr>
      <w:r>
        <w:rPr>
          <w:sz w:val="21"/>
          <w:szCs w:val="21"/>
        </w:rPr>
        <w:t xml:space="preserve">Pengecoh (distractor) pada pilihan ganda harus logis dan mencerminkan miskonsepsi umum, bukan asal berbeda.</w:t>
      </w:r>
    </w:p>
    <w:p>
      <w:pPr>
        <w:pStyle w:val="ListParagraph"/>
        <w:numPr>
          <w:ilvl w:val="0"/>
          <w:numId w:val="2"/>
        </w:numPr>
        <w:spacing w:after="80" w:line="290"/>
      </w:pPr>
      <w:r>
        <w:rPr>
          <w:sz w:val="21"/>
          <w:szCs w:val="21"/>
        </w:rPr>
        <w:t xml:space="preserve">Hindari soal bermakna ganda, negatif ganda, dan kunci jawaban yang polanya mencolok (misal selalu paling panjang).</w:t>
      </w:r>
    </w:p>
    <w:p>
      <w:pPr>
        <w:pStyle w:val="ListParagraph"/>
        <w:numPr>
          <w:ilvl w:val="0"/>
          <w:numId w:val="2"/>
        </w:numPr>
        <w:spacing w:after="80" w:line="290"/>
      </w:pPr>
      <w:r>
        <w:rPr>
          <w:sz w:val="21"/>
          <w:szCs w:val="21"/>
        </w:rPr>
        <w:t xml:space="preserve">Sertakan data, grafik, tabel, atau gambar bila relevan untuk memperkuat konteks bidang keahlian perikanan.</w:t>
      </w:r>
    </w:p>
    <w:p>
      <w:pPr>
        <w:pStyle w:val="Heading1"/>
        <w:pBdr>
          <w:bottom w:val="single" w:color="0E7C7B" w:sz="6" w:space="4"/>
        </w:pBdr>
        <w:spacing w:after="160" w:before="320"/>
      </w:pPr>
      <w:r>
        <w:rPr>
          <w:b/>
          <w:bCs/>
          <w:color w:val="1F3864"/>
          <w:sz w:val="27"/>
          <w:szCs w:val="27"/>
        </w:rPr>
        <w:t xml:space="preserve">V. Fokus Materi PKK untuk Butir Soal Try Out</w:t>
      </w:r>
    </w:p>
    <w:p>
      <w:pPr>
        <w:spacing w:after="120" w:line="300"/>
      </w:pPr>
      <w:r>
        <w:rPr>
          <w:sz w:val="21"/>
          <w:szCs w:val="21"/>
        </w:rPr>
        <w:t xml:space="preserve">Rujukan elemen dan tujuan pembelajaran (TP) mata pelajaran PKK kelas XI fase F yang relevan dijadikan dasar penyusunan soal:</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rPr>
          <w:tblHeader/>
        </w:trPr>
        <w:tc>
          <w:tcPr>
            <w:tcW w:type="dxa" w:w="2600"/>
            <w:shd w:fill="1F3864" w:val="clear"/>
            <w:tcMar>
              <w:top w:type="dxa" w:w="80"/>
              <w:left w:type="dxa" w:w="100"/>
              <w:bottom w:type="dxa" w:w="80"/>
              <w:right w:type="dxa" w:w="100"/>
            </w:tcMar>
          </w:tcPr>
          <w:p>
            <w:pPr>
              <w:jc w:val="center"/>
            </w:pPr>
            <w:r>
              <w:rPr>
                <w:b/>
                <w:bCs/>
                <w:color w:val="FFFFFF"/>
                <w:sz w:val="19"/>
                <w:szCs w:val="19"/>
              </w:rPr>
              <w:t xml:space="preserve">Elemen</w:t>
            </w:r>
          </w:p>
        </w:tc>
        <w:tc>
          <w:tcPr>
            <w:tcW w:type="dxa" w:w="6800"/>
            <w:shd w:fill="1F3864" w:val="clear"/>
            <w:tcMar>
              <w:top w:type="dxa" w:w="80"/>
              <w:left w:type="dxa" w:w="100"/>
              <w:bottom w:type="dxa" w:w="80"/>
              <w:right w:type="dxa" w:w="100"/>
            </w:tcMar>
          </w:tcPr>
          <w:p>
            <w:pPr>
              <w:jc w:val="center"/>
            </w:pPr>
            <w:r>
              <w:rPr>
                <w:b/>
                <w:bCs/>
                <w:color w:val="FFFFFF"/>
                <w:sz w:val="19"/>
                <w:szCs w:val="19"/>
              </w:rPr>
              <w:t xml:space="preserve">Cakupan Materi (Sumber Soal)</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Kegiatan Produksi</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Perencanaan jenis &amp; jumlah produk, desain produk, proses kerja prototipe, biaya produksi, jadwal produksi, standar/spesifikasi produk, pengendalian mutu (QA), desain kemasan dan labeling.</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Kewirausahaan</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Analisis peluang usaha (internal-eksternal/SWOT), penetapan jenis usaha, penyusunan proposal usaha (business plan), perhitungan BEP dan ROI.</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Pemasaran &amp; Pengelolaan Usaha</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Strategi distribusi produk, layanan keluhan pelanggan, segmentasi pasar-harga-media pemasaran, konsep dan kepatuhan HAKI, laporan keuangan usaha, evaluasi usaha.</w:t>
            </w:r>
          </w:p>
        </w:tc>
      </w:tr>
    </w:tbl>
    <w:p>
      <w:pPr>
        <w:spacing w:after="100"/>
      </w:pPr>
    </w:p>
    <w:p>
      <w:pPr>
        <w:pStyle w:val="Heading2"/>
        <w:spacing w:after="100" w:before="220"/>
      </w:pPr>
      <w:r>
        <w:rPr>
          <w:b/>
          <w:bCs/>
          <w:color w:val="0E7C7B"/>
          <w:sz w:val="24"/>
          <w:szCs w:val="24"/>
        </w:rPr>
        <w:t xml:space="preserve">Contoh Soal HOTS PKK</w:t>
      </w:r>
    </w:p>
    <w:p>
      <w:pPr>
        <w:pBdr>
          <w:left w:val="single" w:color="0E7C7B" w:sz="18" w:space="6"/>
        </w:pBdr>
        <w:shd w:fill="EAF2F1" w:val="clear"/>
        <w:spacing w:after="160"/>
      </w:pPr>
      <w:r>
        <w:rPr>
          <w:i/>
          <w:iCs/>
          <w:color w:val="333333"/>
          <w:sz w:val="20"/>
          <w:szCs w:val="20"/>
        </w:rPr>
        <w:t xml:space="preserve">Stimulus: Seorang siswa merintis usaha olahan abon ikan lele dengan modal awal Rp3.000.000, biaya tetap Rp500.000/bulan, biaya variabel Rp8.000/kemasan, dan harga jual Rp15.000/kemasan.
Soal: Jika bulan ini terjual 450 kemasan, tentukan apakah usaha tersebut sudah mencapai titik impas (BEP), dan berikan satu rekomendasi strategi agar keuntungan meningkat pada bulan berikutnya.
Level: Penalaran (analisis kelayakan usaha &amp; pengambilan keputusan) — TP 11.12.</w:t>
      </w:r>
    </w:p>
    <w:p>
      <w:pPr>
        <w:pBdr>
          <w:left w:val="single" w:color="0E7C7B" w:sz="18" w:space="6"/>
        </w:pBdr>
        <w:shd w:fill="EAF2F1" w:val="clear"/>
        <w:spacing w:after="160"/>
      </w:pPr>
      <w:r>
        <w:rPr>
          <w:i/>
          <w:iCs/>
          <w:color w:val="333333"/>
          <w:sz w:val="20"/>
          <w:szCs w:val="20"/>
        </w:rPr>
        <w:t xml:space="preserve">Soal: Sebuah usaha pengolahan ikan asap mengalami penurunan penjualan di pasar tradisional, sementara permintaan di media sosial justru meningkat. Evaluasilah strategi segmentasi pasar dan media pemasaran yang paling tepat untuk kondisi tersebut beserta alasannya.
Level: Penalaran (evaluasi strategi pemasaran) — TP 11.15.</w:t>
      </w:r>
    </w:p>
    <w:p>
      <w:pPr>
        <w:pStyle w:val="Heading1"/>
        <w:pBdr>
          <w:bottom w:val="single" w:color="0E7C7B" w:sz="6" w:space="4"/>
        </w:pBdr>
        <w:spacing w:after="160" w:before="320"/>
      </w:pPr>
      <w:r>
        <w:rPr>
          <w:b/>
          <w:bCs/>
          <w:color w:val="1F3864"/>
          <w:sz w:val="27"/>
          <w:szCs w:val="27"/>
        </w:rPr>
        <w:t xml:space="preserve">VI. Fokus Materi Kompetensi Keahlian APAT untuk Butir Soal Try Out</w:t>
      </w:r>
    </w:p>
    <w:p>
      <w:pPr>
        <w:spacing w:after="120" w:line="300"/>
      </w:pPr>
      <w:r>
        <w:rPr>
          <w:sz w:val="21"/>
          <w:szCs w:val="21"/>
        </w:rPr>
        <w:t xml:space="preserve">Untuk kelas XII, materi mengacu pada Capaian Pembelajaran Konsentrasi Keahlian Agribisnis Perikanan Air Tawar Tahap 2: Teknik Pendederan Ikan, serta kompetensi budidaya lain yang telah dipelajari selama masa pembelajaran di sekolah (sebelum dan sesudah praktik kerja lapangan).</w:t>
      </w:r>
    </w:p>
    <w:p>
      <w:pPr>
        <w:pStyle w:val="Heading2"/>
        <w:spacing w:after="100" w:before="220"/>
      </w:pPr>
      <w:r>
        <w:rPr>
          <w:b/>
          <w:bCs/>
          <w:color w:val="0E7C7B"/>
          <w:sz w:val="24"/>
          <w:szCs w:val="24"/>
        </w:rPr>
        <w:t xml:space="preserve">Contoh Soal HOTS Kompetensi Keahlian APAT</w:t>
      </w:r>
    </w:p>
    <w:p>
      <w:pPr>
        <w:pBdr>
          <w:left w:val="single" w:color="0E7C7B" w:sz="18" w:space="6"/>
        </w:pBdr>
        <w:shd w:fill="EAF2F1" w:val="clear"/>
        <w:spacing w:after="160"/>
      </w:pPr>
      <w:r>
        <w:rPr>
          <w:i/>
          <w:iCs/>
          <w:color w:val="333333"/>
          <w:sz w:val="20"/>
          <w:szCs w:val="20"/>
        </w:rPr>
        <w:t xml:space="preserve">Stimulus: Hasil pengukuran kualitas air kolam pendederan benih ikan lele menunjukkan suhu 31°C, pH 5,2, dan kadar oksigen terlarut (DO) 2 mg/L. Dalam tiga hari terakhir ditemukan benih yang megap-megap di permukaan air dan pertumbuhan melambat.
Soal: Analisislah parameter kualitas air manakah yang paling berisiko terhadap kelangsungan hidup benih, serta tentukan langkah pengelolaan (manajemen kualitas air) yang paling tepat untuk mengatasinya.
Level: Penalaran (analisis kasus &amp; pengambilan keputusan teknis).</w:t>
      </w:r>
    </w:p>
    <w:p>
      <w:pPr>
        <w:pBdr>
          <w:left w:val="single" w:color="0E7C7B" w:sz="18" w:space="6"/>
        </w:pBdr>
        <w:shd w:fill="EAF2F1" w:val="clear"/>
        <w:spacing w:after="160"/>
      </w:pPr>
      <w:r>
        <w:rPr>
          <w:i/>
          <w:iCs/>
          <w:color w:val="333333"/>
          <w:sz w:val="20"/>
          <w:szCs w:val="20"/>
        </w:rPr>
        <w:t xml:space="preserve">Soal: Pembudidaya memberikan pakan dengan FCR (Feed Conversion Ratio) aktual 1,8, padahal target FCR pada SOP pendederan adalah 1,2. Bandingkan kemungkinan penyebab tingginya FCR tersebut dan rumuskan rekomendasi perbaikan manajemen pakan yang sesuai prinsip efisiensi produksi.
Level: Penalaran (membandingkan kondisi &amp; menentukan solusi).</w:t>
      </w:r>
    </w:p>
    <w:p>
      <w:pPr>
        <w:pStyle w:val="Heading1"/>
        <w:pBdr>
          <w:bottom w:val="single" w:color="0E7C7B" w:sz="6" w:space="4"/>
        </w:pBdr>
        <w:spacing w:after="160" w:before="320"/>
      </w:pPr>
      <w:r>
        <w:rPr>
          <w:b/>
          <w:bCs/>
          <w:color w:val="1F3864"/>
          <w:sz w:val="27"/>
          <w:szCs w:val="27"/>
        </w:rPr>
        <w:t xml:space="preserve">VII. Format Kisi-Kisi dan Kartu Soal</w:t>
      </w:r>
    </w:p>
    <w:p>
      <w:pPr>
        <w:spacing w:after="120" w:line="300"/>
      </w:pPr>
      <w:r>
        <w:rPr>
          <w:sz w:val="21"/>
          <w:szCs w:val="21"/>
        </w:rPr>
        <w:t xml:space="preserve">Setiap butir soal try out yang disusun peserta MGMP wajib dilengkapi kisi-kisi dan kartu soal dengan format berikut: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Mata Pelajaran</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Elemen / TP</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Level Kompetensi</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Pengetahuan / Aplikasi / Penalaran (HOTS)</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Bentuk Soal</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Pilihan ganda tunggal / Soal grup</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Stimulus</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Butir Soal</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Kunci Jawaban</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Pembahasan Singkat</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w:t>
            </w:r>
          </w:p>
        </w:tc>
      </w:tr>
    </w:tbl>
    <w:p>
      <w:r>
        <w:br w:type="page"/>
      </w:r>
    </w:p>
    <w:p>
      <w:pPr>
        <w:pStyle w:val="Heading1"/>
        <w:pBdr>
          <w:bottom w:val="single" w:color="0E7C7B" w:sz="6" w:space="4"/>
        </w:pBdr>
        <w:spacing w:after="160" w:before="320"/>
      </w:pPr>
      <w:r>
        <w:rPr>
          <w:b/>
          <w:bCs/>
          <w:color w:val="1F3864"/>
          <w:sz w:val="27"/>
          <w:szCs w:val="27"/>
        </w:rPr>
        <w:t xml:space="preserve">VIII. Agenda Kegiatan (11.00 - 13.00 WIB)</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5600"/>
      </w:tblGrid>
      <w:tr>
        <w:trPr>
          <w:tblHeader/>
        </w:trPr>
        <w:tc>
          <w:tcPr>
            <w:tcW w:type="dxa" w:w="2200"/>
            <w:shd w:fill="1F3864" w:val="clear"/>
            <w:tcMar>
              <w:top w:type="dxa" w:w="80"/>
              <w:left w:type="dxa" w:w="100"/>
              <w:bottom w:type="dxa" w:w="80"/>
              <w:right w:type="dxa" w:w="100"/>
            </w:tcMar>
          </w:tcPr>
          <w:p>
            <w:pPr>
              <w:jc w:val="center"/>
            </w:pPr>
            <w:r>
              <w:rPr>
                <w:b/>
                <w:bCs/>
                <w:color w:val="FFFFFF"/>
                <w:sz w:val="19"/>
                <w:szCs w:val="19"/>
              </w:rPr>
              <w:t xml:space="preserve">Waktu</w:t>
            </w:r>
          </w:p>
        </w:tc>
        <w:tc>
          <w:tcPr>
            <w:tcW w:type="dxa" w:w="1600"/>
            <w:shd w:fill="1F3864" w:val="clear"/>
            <w:tcMar>
              <w:top w:type="dxa" w:w="80"/>
              <w:left w:type="dxa" w:w="100"/>
              <w:bottom w:type="dxa" w:w="80"/>
              <w:right w:type="dxa" w:w="100"/>
            </w:tcMar>
          </w:tcPr>
          <w:p>
            <w:pPr>
              <w:jc w:val="center"/>
            </w:pPr>
            <w:r>
              <w:rPr>
                <w:b/>
                <w:bCs/>
                <w:color w:val="FFFFFF"/>
                <w:sz w:val="19"/>
                <w:szCs w:val="19"/>
              </w:rPr>
              <w:t xml:space="preserve">Durasi</w:t>
            </w:r>
          </w:p>
        </w:tc>
        <w:tc>
          <w:tcPr>
            <w:tcW w:type="dxa" w:w="5600"/>
            <w:shd w:fill="1F3864" w:val="clear"/>
            <w:tcMar>
              <w:top w:type="dxa" w:w="80"/>
              <w:left w:type="dxa" w:w="100"/>
              <w:bottom w:type="dxa" w:w="80"/>
              <w:right w:type="dxa" w:w="100"/>
            </w:tcMar>
          </w:tcPr>
          <w:p>
            <w:pPr>
              <w:jc w:val="center"/>
            </w:pPr>
            <w:r>
              <w:rPr>
                <w:b/>
                <w:bCs/>
                <w:color w:val="FFFFFF"/>
                <w:sz w:val="19"/>
                <w:szCs w:val="19"/>
              </w:rPr>
              <w:t xml:space="preserve">Kegiatan</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11.00 - 11.10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10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Pembukaan, doa, dan penyampaian tujuan kegiatan</w:t>
            </w:r>
          </w:p>
        </w:tc>
      </w:tr>
      <w:tr>
        <w:tc>
          <w:tcPr>
            <w:tcW w:type="dxa" w:w="2200"/>
            <w:shd w:fill="F2F2F2" w:val="clear"/>
            <w:tcMar>
              <w:top w:type="dxa" w:w="80"/>
              <w:left w:type="dxa" w:w="100"/>
              <w:bottom w:type="dxa" w:w="80"/>
              <w:right w:type="dxa" w:w="100"/>
            </w:tcMar>
          </w:tcPr>
          <w:p>
            <w:pPr>
              <w:jc w:val="left"/>
            </w:pPr>
            <w:r>
              <w:rPr>
                <w:b w:val="false"/>
                <w:bCs w:val="false"/>
                <w:color w:val="000000"/>
                <w:sz w:val="19"/>
                <w:szCs w:val="19"/>
              </w:rPr>
              <w:t xml:space="preserve">11.10 - 11.30</w:t>
            </w:r>
          </w:p>
        </w:tc>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20 menit</w:t>
            </w:r>
          </w:p>
        </w:tc>
        <w:tc>
          <w:tcPr>
            <w:tcW w:type="dxa" w:w="5600"/>
            <w:shd w:fill="F2F2F2" w:val="clear"/>
            <w:tcMar>
              <w:top w:type="dxa" w:w="80"/>
              <w:left w:type="dxa" w:w="100"/>
              <w:bottom w:type="dxa" w:w="80"/>
              <w:right w:type="dxa" w:w="100"/>
            </w:tcMar>
          </w:tcPr>
          <w:p>
            <w:pPr>
              <w:jc w:val="left"/>
            </w:pPr>
            <w:r>
              <w:rPr>
                <w:b w:val="false"/>
                <w:bCs w:val="false"/>
                <w:color w:val="000000"/>
                <w:sz w:val="19"/>
                <w:szCs w:val="19"/>
              </w:rPr>
              <w:t xml:space="preserve">Pemaparan kebijakan &amp; kerangka TKA 2026 (mapel wajib, mapel pilihan SMK, 3 level kompetensi kejuruan)</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11.30 - 11.50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20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Pembahasan fokus materi PKK dan Kompetensi Keahlian APAT yang akan diujikan, serta contoh soal HOTS</w:t>
            </w:r>
          </w:p>
        </w:tc>
      </w:tr>
      <w:tr>
        <w:tc>
          <w:tcPr>
            <w:tcW w:type="dxa" w:w="2200"/>
            <w:shd w:fill="F2F2F2" w:val="clear"/>
            <w:tcMar>
              <w:top w:type="dxa" w:w="80"/>
              <w:left w:type="dxa" w:w="100"/>
              <w:bottom w:type="dxa" w:w="80"/>
              <w:right w:type="dxa" w:w="100"/>
            </w:tcMar>
          </w:tcPr>
          <w:p>
            <w:pPr>
              <w:jc w:val="left"/>
            </w:pPr>
            <w:r>
              <w:rPr>
                <w:b w:val="false"/>
                <w:bCs w:val="false"/>
                <w:color w:val="000000"/>
                <w:sz w:val="19"/>
                <w:szCs w:val="19"/>
              </w:rPr>
              <w:t xml:space="preserve">11.50 - 12.10</w:t>
            </w:r>
          </w:p>
        </w:tc>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20 menit</w:t>
            </w:r>
          </w:p>
        </w:tc>
        <w:tc>
          <w:tcPr>
            <w:tcW w:type="dxa" w:w="5600"/>
            <w:shd w:fill="F2F2F2" w:val="clear"/>
            <w:tcMar>
              <w:top w:type="dxa" w:w="80"/>
              <w:left w:type="dxa" w:w="100"/>
              <w:bottom w:type="dxa" w:w="80"/>
              <w:right w:type="dxa" w:w="100"/>
            </w:tcMar>
          </w:tcPr>
          <w:p>
            <w:pPr>
              <w:jc w:val="left"/>
            </w:pPr>
            <w:r>
              <w:rPr>
                <w:b w:val="false"/>
                <w:bCs w:val="false"/>
                <w:color w:val="000000"/>
                <w:sz w:val="19"/>
                <w:szCs w:val="19"/>
              </w:rPr>
              <w:t xml:space="preserve">Pemaparan kaidah penyusunan soal HOTS terintegrasi &amp; format kisi-kisi/kartu soal</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12.10 - 12.40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30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Workshop kelompok: peserta menyusun kisi-kisi dan minimal 2 kartu soal (1 PKK, 1 APAT) untuk try out Tahap I</w:t>
            </w:r>
          </w:p>
        </w:tc>
      </w:tr>
      <w:tr>
        <w:tc>
          <w:tcPr>
            <w:tcW w:type="dxa" w:w="2200"/>
            <w:shd w:fill="F2F2F2" w:val="clear"/>
            <w:tcMar>
              <w:top w:type="dxa" w:w="80"/>
              <w:left w:type="dxa" w:w="100"/>
              <w:bottom w:type="dxa" w:w="80"/>
              <w:right w:type="dxa" w:w="100"/>
            </w:tcMar>
          </w:tcPr>
          <w:p>
            <w:pPr>
              <w:jc w:val="left"/>
            </w:pPr>
            <w:r>
              <w:rPr>
                <w:b w:val="false"/>
                <w:bCs w:val="false"/>
                <w:color w:val="000000"/>
                <w:sz w:val="19"/>
                <w:szCs w:val="19"/>
              </w:rPr>
              <w:t xml:space="preserve">12.40 - 12.55</w:t>
            </w:r>
          </w:p>
        </w:tc>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15 menit</w:t>
            </w:r>
          </w:p>
        </w:tc>
        <w:tc>
          <w:tcPr>
            <w:tcW w:type="dxa" w:w="5600"/>
            <w:shd w:fill="F2F2F2" w:val="clear"/>
            <w:tcMar>
              <w:top w:type="dxa" w:w="80"/>
              <w:left w:type="dxa" w:w="100"/>
              <w:bottom w:type="dxa" w:w="80"/>
              <w:right w:type="dxa" w:w="100"/>
            </w:tcMar>
          </w:tcPr>
          <w:p>
            <w:pPr>
              <w:jc w:val="left"/>
            </w:pPr>
            <w:r>
              <w:rPr>
                <w:b w:val="false"/>
                <w:bCs w:val="false"/>
                <w:color w:val="000000"/>
                <w:sz w:val="19"/>
                <w:szCs w:val="19"/>
              </w:rPr>
              <w:t xml:space="preserve">Presentasi hasil kelompok dan telaah bersama (peer review) butir soal</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12.55 - 13.00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5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Penyampaian rencana tindak lanjut dan penutup</w:t>
            </w:r>
          </w:p>
        </w:tc>
      </w:tr>
    </w:tbl>
    <w:p>
      <w:pPr>
        <w:pStyle w:val="Heading1"/>
        <w:pBdr>
          <w:bottom w:val="single" w:color="0E7C7B" w:sz="6" w:space="4"/>
        </w:pBdr>
        <w:spacing w:after="160" w:before="320"/>
      </w:pPr>
      <w:r>
        <w:rPr>
          <w:b/>
          <w:bCs/>
          <w:color w:val="1F3864"/>
          <w:sz w:val="27"/>
          <w:szCs w:val="27"/>
        </w:rPr>
        <w:t xml:space="preserve">IX. Lembar Kerja Workshop (12.10 - 12.40 WIB)</w:t>
      </w:r>
    </w:p>
    <w:p>
      <w:pPr>
        <w:spacing w:after="120" w:line="300"/>
      </w:pPr>
      <w:r>
        <w:rPr>
          <w:sz w:val="21"/>
          <w:szCs w:val="21"/>
        </w:rPr>
        <w:t xml:space="preserve">Setiap peserta/kelompok diminta menghasilkan:</w:t>
      </w:r>
    </w:p>
    <w:p>
      <w:pPr>
        <w:pStyle w:val="ListParagraph"/>
        <w:numPr>
          <w:ilvl w:val="0"/>
          <w:numId w:val="2"/>
        </w:numPr>
        <w:spacing w:after="80" w:line="290"/>
      </w:pPr>
      <w:r>
        <w:rPr>
          <w:sz w:val="21"/>
          <w:szCs w:val="21"/>
        </w:rPr>
        <w:t xml:space="preserve">1 (satu) kisi-kisi dan kartu soal HOTS mata pelajaran PKK sesuai elemen yang menjadi tugas mengajarnya.</w:t>
      </w:r>
    </w:p>
    <w:p>
      <w:pPr>
        <w:pStyle w:val="ListParagraph"/>
        <w:numPr>
          <w:ilvl w:val="0"/>
          <w:numId w:val="2"/>
        </w:numPr>
        <w:spacing w:after="80" w:line="290"/>
      </w:pPr>
      <w:r>
        <w:rPr>
          <w:sz w:val="21"/>
          <w:szCs w:val="21"/>
        </w:rPr>
        <w:t xml:space="preserve">1 (satu) kisi-kisi dan kartu soal HOTS mata pelajaran Kompetensi Keahlian APAT sesuai materi kelas XII yang diampu.</w:t>
      </w:r>
    </w:p>
    <w:p>
      <w:pPr>
        <w:pStyle w:val="ListParagraph"/>
        <w:numPr>
          <w:ilvl w:val="0"/>
          <w:numId w:val="2"/>
        </w:numPr>
        <w:spacing w:after="80" w:line="290"/>
      </w:pPr>
      <w:r>
        <w:rPr>
          <w:sz w:val="21"/>
          <w:szCs w:val="21"/>
        </w:rPr>
        <w:t xml:space="preserve">Menggunakan format kisi-kisi dan kartu soal pada Bab VII, serta memastikan stimulus bersifat kontekstual (kasus produksi/usaha perikanan air tawar).</w:t>
      </w:r>
    </w:p>
    <w:p>
      <w:pPr>
        <w:pStyle w:val="ListParagraph"/>
        <w:numPr>
          <w:ilvl w:val="0"/>
          <w:numId w:val="2"/>
        </w:numPr>
        <w:spacing w:after="80" w:line="290"/>
      </w:pPr>
      <w:r>
        <w:rPr>
          <w:sz w:val="21"/>
          <w:szCs w:val="21"/>
        </w:rPr>
        <w:t xml:space="preserve">Hasil dikumpulkan kepada koordinator MGMP untuk dikompilasi menjadi bank soal try out Tahap I.</w:t>
      </w:r>
    </w:p>
    <w:p>
      <w:pPr>
        <w:pStyle w:val="Heading1"/>
        <w:pBdr>
          <w:bottom w:val="single" w:color="0E7C7B" w:sz="6" w:space="4"/>
        </w:pBdr>
        <w:spacing w:after="160" w:before="320"/>
      </w:pPr>
      <w:r>
        <w:rPr>
          <w:b/>
          <w:bCs/>
          <w:color w:val="1F3864"/>
          <w:sz w:val="27"/>
          <w:szCs w:val="27"/>
        </w:rPr>
        <w:t xml:space="preserve">X. Rencana Tindak Lanjut</w:t>
      </w:r>
    </w:p>
    <w:p>
      <w:pPr>
        <w:pStyle w:val="ListParagraph"/>
        <w:numPr>
          <w:ilvl w:val="0"/>
          <w:numId w:val="2"/>
        </w:numPr>
        <w:spacing w:after="80" w:line="290"/>
      </w:pPr>
      <w:r>
        <w:rPr>
          <w:sz w:val="21"/>
          <w:szCs w:val="21"/>
        </w:rPr>
        <w:t xml:space="preserve">Kompilasi seluruh kartu soal hasil workshop menjadi satu paket naskah try out Tahap I oleh tim penyusun MGMP.</w:t>
      </w:r>
    </w:p>
    <w:p>
      <w:pPr>
        <w:pStyle w:val="ListParagraph"/>
        <w:numPr>
          <w:ilvl w:val="0"/>
          <w:numId w:val="2"/>
        </w:numPr>
        <w:spacing w:after="80" w:line="290"/>
      </w:pPr>
      <w:r>
        <w:rPr>
          <w:sz w:val="21"/>
          <w:szCs w:val="21"/>
        </w:rPr>
        <w:t xml:space="preserve">Telaah/validasi paket soal oleh Ketua MGMP dan minimal 2 guru senior sebelum digandakan.</w:t>
      </w:r>
    </w:p>
    <w:p>
      <w:pPr>
        <w:pStyle w:val="ListParagraph"/>
        <w:numPr>
          <w:ilvl w:val="0"/>
          <w:numId w:val="2"/>
        </w:numPr>
        <w:spacing w:after="80" w:line="290"/>
      </w:pPr>
      <w:r>
        <w:rPr>
          <w:sz w:val="21"/>
          <w:szCs w:val="21"/>
        </w:rPr>
        <w:t xml:space="preserve">Penjadwalan pelaksanaan simulasi/try out Tahap I di masing-masing sekolah anggota MGMP.</w:t>
      </w:r>
    </w:p>
    <w:p>
      <w:pPr>
        <w:pStyle w:val="ListParagraph"/>
        <w:numPr>
          <w:ilvl w:val="0"/>
          <w:numId w:val="2"/>
        </w:numPr>
        <w:spacing w:after="80" w:line="290"/>
      </w:pPr>
      <w:r>
        <w:rPr>
          <w:sz w:val="21"/>
          <w:szCs w:val="21"/>
        </w:rPr>
        <w:t xml:space="preserve">Analisis hasil try out (tingkat kesukaran, daya beda) sebagai dasar penyusunan soal Try Out Tahap II.</w:t>
      </w:r>
    </w:p>
    <w:p>
      <w:pPr>
        <w:pStyle w:val="Heading1"/>
        <w:pBdr>
          <w:bottom w:val="single" w:color="0E7C7B" w:sz="6" w:space="4"/>
        </w:pBdr>
        <w:spacing w:after="160" w:before="320"/>
      </w:pPr>
      <w:r>
        <w:rPr>
          <w:b/>
          <w:bCs/>
          <w:color w:val="1F3864"/>
          <w:sz w:val="27"/>
          <w:szCs w:val="27"/>
        </w:rPr>
        <w:t xml:space="preserve">XI. Referensi</w:t>
      </w:r>
    </w:p>
    <w:p>
      <w:pPr>
        <w:pStyle w:val="ListParagraph"/>
        <w:numPr>
          <w:ilvl w:val="0"/>
          <w:numId w:val="2"/>
        </w:numPr>
        <w:spacing w:after="80" w:line="290"/>
      </w:pPr>
      <w:r>
        <w:rPr>
          <w:sz w:val="21"/>
          <w:szCs w:val="21"/>
        </w:rPr>
        <w:t xml:space="preserve">Permendikdasmen Nomor 9 Tahun 2025 tentang Tes Kemampuan Akademik.</w:t>
      </w:r>
    </w:p>
    <w:p>
      <w:pPr>
        <w:pStyle w:val="ListParagraph"/>
        <w:numPr>
          <w:ilvl w:val="0"/>
          <w:numId w:val="2"/>
        </w:numPr>
        <w:spacing w:after="80" w:line="290"/>
      </w:pPr>
      <w:r>
        <w:rPr>
          <w:sz w:val="21"/>
          <w:szCs w:val="21"/>
        </w:rPr>
        <w:t xml:space="preserve">Peraturan Kepala BSKAP Nomor 045/H/AN/2025 tentang Kerangka Asesmen Tes Kemampuan Akademik Jenjang SMA/MA/Sederajat dan SMK/MAK.</w:t>
      </w:r>
    </w:p>
    <w:p>
      <w:pPr>
        <w:pStyle w:val="ListParagraph"/>
        <w:numPr>
          <w:ilvl w:val="0"/>
          <w:numId w:val="2"/>
        </w:numPr>
        <w:spacing w:after="80" w:line="290"/>
      </w:pPr>
      <w:r>
        <w:rPr>
          <w:sz w:val="21"/>
          <w:szCs w:val="21"/>
        </w:rPr>
        <w:t xml:space="preserve">Kepmendikdasmen Nomor 56 Tahun 2026 tentang Pedoman Penyelenggaraan TKA dan Asesmen Nasional.</w:t>
      </w:r>
    </w:p>
    <w:p>
      <w:pPr>
        <w:pStyle w:val="ListParagraph"/>
        <w:numPr>
          <w:ilvl w:val="0"/>
          <w:numId w:val="2"/>
        </w:numPr>
        <w:spacing w:after="80" w:line="290"/>
      </w:pPr>
      <w:r>
        <w:rPr>
          <w:sz w:val="21"/>
          <w:szCs w:val="21"/>
        </w:rPr>
        <w:t xml:space="preserve">Petunjuk Teknis Penyelenggaraan TKA dan AN, Keputusan Kepala BKPDM Nomor 017/F/AN/2026.</w:t>
      </w:r>
    </w:p>
    <w:p>
      <w:pPr>
        <w:pBdr>
          <w:left w:val="single" w:color="0E7C7B" w:sz="18" w:space="6"/>
        </w:pBdr>
        <w:shd w:fill="EAF2F1" w:val="clear"/>
        <w:spacing w:after="160"/>
      </w:pPr>
      <w:r>
        <w:rPr>
          <w:i/>
          <w:iCs/>
          <w:color w:val="333333"/>
          <w:sz w:val="20"/>
          <w:szCs w:val="20"/>
        </w:rPr>
        <w:t xml:space="preserve">Rincian teknis kisi-kisi resmi per mata uji kejuruan (termasuk APAT) dapat berubah menjelang pelaksanaan; MGMP disarankan memantau pembaruan resmi dari laman Pusmendik/Kemendikdasmen (tka.kemendikdasmen.go.id) sebelum menetapkan naskah final try out.</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2026-09-12T03:15:02.796Z</dcterms:created>
  <dcterms:modified xsi:type="dcterms:W3CDTF">2026-09-12T03:15:02.806Z</dcterms:modified>
</cp:coreProperties>
</file>

<file path=docProps/custom.xml><?xml version="1.0" encoding="utf-8"?>
<Properties xmlns="http://schemas.openxmlformats.org/officeDocument/2006/custom-properties" xmlns:vt="http://schemas.openxmlformats.org/officeDocument/2006/docPropsVTypes"/>
</file>